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930799" w:rsidRDefault="00DF146C">
      <w:pPr>
        <w:pStyle w:val="Heading1"/>
      </w:pPr>
      <w:r>
        <w:t>012 DRŽAVNO IZBORNO POVJERENSTVO REPUBLIKE HRVATSKE</w:t>
      </w:r>
    </w:p>
    <w:p w:rsidR="00930799" w:rsidRDefault="00DF146C">
      <w:r>
        <w:t xml:space="preserve">Državno izborno povjerenstvo Republike Hrvatske (dalje: Državno izborno povjerenstvo) je stalno i neovisno državno tijelo koje obavlja poslove iz svog djelokruga u skladu sa Zakonom o Državnom izbornom povjerenstvu Republike Hrvatske te zakonima kojima je </w:t>
      </w:r>
      <w:r>
        <w:t xml:space="preserve">regulirana provedba izbora u Republici Hrvatskoj, kao i provedba državnog, lokalnog i savjetodavnog referenduma. Nadležnost Državnog izbornog povjerenstva u provedbi nadzora financiranja političkih aktivnosti, izborne promidžbe i referenduma, propisana je </w:t>
      </w:r>
      <w:r>
        <w:t>Zakonom o financiranju političkih aktivnosti, izborne promidžbe i referenduma.</w:t>
      </w:r>
    </w:p>
    <w:tbl>
      <w:tblPr>
        <w:tblStyle w:val="StilTablice"/>
        <w:tblW w:w="10206" w:type="dxa"/>
        <w:jc w:val="center"/>
        <w:tblLook w:val="04A0" w:firstRow="1" w:lastRow="0" w:firstColumn="1" w:lastColumn="0" w:noHBand="0" w:noVBand="1"/>
      </w:tblPr>
      <w:tblGrid>
        <w:gridCol w:w="1638"/>
        <w:gridCol w:w="2040"/>
        <w:gridCol w:w="2040"/>
        <w:gridCol w:w="2040"/>
        <w:gridCol w:w="1224"/>
        <w:gridCol w:w="1224"/>
      </w:tblGrid>
      <w:tr w:rsidR="00930799">
        <w:trPr>
          <w:jc w:val="center"/>
        </w:trPr>
        <w:tc>
          <w:tcPr>
            <w:tcW w:w="1632" w:type="dxa"/>
            <w:shd w:val="clear" w:color="auto" w:fill="B5C0D8"/>
          </w:tcPr>
          <w:p w:rsidR="00930799" w:rsidRDefault="00930799">
            <w:pPr>
              <w:pStyle w:val="CellHeader"/>
              <w:jc w:val="center"/>
            </w:pP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Index izvršenje 2024./2023.</w:t>
            </w:r>
          </w:p>
        </w:tc>
      </w:tr>
      <w:tr w:rsidR="00930799">
        <w:trPr>
          <w:jc w:val="center"/>
        </w:trPr>
        <w:tc>
          <w:tcPr>
            <w:tcW w:w="1632" w:type="dxa"/>
            <w:vAlign w:val="top"/>
          </w:tcPr>
          <w:p w:rsidR="00930799" w:rsidRDefault="00DF146C">
            <w:pPr>
              <w:pStyle w:val="CellColumn"/>
              <w:jc w:val="left"/>
            </w:pPr>
            <w:r>
              <w:rPr>
                <w:rFonts w:cs="Times New Roman"/>
              </w:rPr>
              <w:t>01205-Državno izborno povjerenstvo Republike Hrvatske</w:t>
            </w:r>
          </w:p>
        </w:tc>
        <w:tc>
          <w:tcPr>
            <w:tcW w:w="2041" w:type="dxa"/>
            <w:vAlign w:val="top"/>
          </w:tcPr>
          <w:p w:rsidR="00930799" w:rsidRDefault="00DF146C">
            <w:pPr>
              <w:pStyle w:val="CellColumn"/>
              <w:jc w:val="right"/>
            </w:pPr>
            <w:r>
              <w:rPr>
                <w:rFonts w:cs="Times New Roman"/>
              </w:rPr>
              <w:t>1.593.464</w:t>
            </w:r>
          </w:p>
        </w:tc>
        <w:tc>
          <w:tcPr>
            <w:tcW w:w="2041" w:type="dxa"/>
            <w:vAlign w:val="top"/>
          </w:tcPr>
          <w:p w:rsidR="00930799" w:rsidRDefault="00DF146C">
            <w:pPr>
              <w:pStyle w:val="CellColumn"/>
              <w:jc w:val="right"/>
            </w:pPr>
            <w:r>
              <w:rPr>
                <w:rFonts w:cs="Times New Roman"/>
              </w:rPr>
              <w:t>31.919.650</w:t>
            </w:r>
          </w:p>
        </w:tc>
        <w:tc>
          <w:tcPr>
            <w:tcW w:w="2041" w:type="dxa"/>
            <w:vAlign w:val="top"/>
          </w:tcPr>
          <w:p w:rsidR="00930799" w:rsidRDefault="00DF146C">
            <w:pPr>
              <w:pStyle w:val="CellColumn"/>
              <w:jc w:val="right"/>
            </w:pPr>
            <w:r>
              <w:rPr>
                <w:rFonts w:cs="Times New Roman"/>
              </w:rPr>
              <w:t>31.147.483</w:t>
            </w:r>
          </w:p>
        </w:tc>
        <w:tc>
          <w:tcPr>
            <w:tcW w:w="1224" w:type="dxa"/>
            <w:vAlign w:val="top"/>
          </w:tcPr>
          <w:p w:rsidR="00930799" w:rsidRDefault="00DF146C">
            <w:pPr>
              <w:pStyle w:val="CellColumn"/>
              <w:jc w:val="right"/>
            </w:pPr>
            <w:r>
              <w:rPr>
                <w:rFonts w:cs="Times New Roman"/>
              </w:rPr>
              <w:t>97,6</w:t>
            </w:r>
          </w:p>
        </w:tc>
        <w:tc>
          <w:tcPr>
            <w:tcW w:w="1224" w:type="dxa"/>
            <w:vAlign w:val="top"/>
          </w:tcPr>
          <w:p w:rsidR="00930799" w:rsidRDefault="00DF146C">
            <w:pPr>
              <w:pStyle w:val="CellColumn"/>
              <w:jc w:val="right"/>
            </w:pPr>
            <w:r>
              <w:rPr>
                <w:rFonts w:cs="Times New Roman"/>
              </w:rPr>
              <w:t>1954,7</w:t>
            </w:r>
          </w:p>
        </w:tc>
      </w:tr>
      <w:tr w:rsidR="00930799">
        <w:trPr>
          <w:jc w:val="center"/>
        </w:trPr>
        <w:tc>
          <w:tcPr>
            <w:tcW w:w="1632" w:type="dxa"/>
            <w:shd w:val="clear" w:color="auto" w:fill="B5C0D8"/>
          </w:tcPr>
          <w:p w:rsidR="00930799" w:rsidRDefault="00DF146C">
            <w:pPr>
              <w:pStyle w:val="CellColumn"/>
              <w:jc w:val="left"/>
            </w:pPr>
            <w:r>
              <w:rPr>
                <w:rFonts w:cs="Times New Roman"/>
              </w:rPr>
              <w:t>Ukupno 012-DRŽAVNO IZBORNO POVJERENSTVO REPUBLIKE HRVATSKE</w:t>
            </w:r>
          </w:p>
        </w:tc>
        <w:tc>
          <w:tcPr>
            <w:tcW w:w="2041" w:type="dxa"/>
            <w:shd w:val="clear" w:color="auto" w:fill="B5C0D8"/>
          </w:tcPr>
          <w:p w:rsidR="00930799" w:rsidRDefault="00DF146C">
            <w:pPr>
              <w:pStyle w:val="CellColumn"/>
              <w:jc w:val="right"/>
            </w:pPr>
            <w:r>
              <w:rPr>
                <w:rFonts w:cs="Times New Roman"/>
              </w:rPr>
              <w:t>1.593.464</w:t>
            </w:r>
          </w:p>
        </w:tc>
        <w:tc>
          <w:tcPr>
            <w:tcW w:w="2041" w:type="dxa"/>
            <w:shd w:val="clear" w:color="auto" w:fill="B5C0D8"/>
          </w:tcPr>
          <w:p w:rsidR="00930799" w:rsidRDefault="00DF146C">
            <w:pPr>
              <w:pStyle w:val="CellColumn"/>
              <w:jc w:val="right"/>
            </w:pPr>
            <w:r>
              <w:rPr>
                <w:rFonts w:cs="Times New Roman"/>
              </w:rPr>
              <w:t>31.919.650</w:t>
            </w:r>
          </w:p>
        </w:tc>
        <w:tc>
          <w:tcPr>
            <w:tcW w:w="2041" w:type="dxa"/>
            <w:shd w:val="clear" w:color="auto" w:fill="B5C0D8"/>
          </w:tcPr>
          <w:p w:rsidR="00930799" w:rsidRDefault="00DF146C">
            <w:pPr>
              <w:pStyle w:val="CellColumn"/>
              <w:jc w:val="right"/>
            </w:pPr>
            <w:r>
              <w:rPr>
                <w:rFonts w:cs="Times New Roman"/>
              </w:rPr>
              <w:t>31.147.483</w:t>
            </w:r>
          </w:p>
        </w:tc>
        <w:tc>
          <w:tcPr>
            <w:tcW w:w="1224" w:type="dxa"/>
            <w:shd w:val="clear" w:color="auto" w:fill="B5C0D8"/>
          </w:tcPr>
          <w:p w:rsidR="00930799" w:rsidRDefault="00DF146C">
            <w:pPr>
              <w:pStyle w:val="CellColumn"/>
              <w:jc w:val="right"/>
            </w:pPr>
            <w:r>
              <w:rPr>
                <w:rFonts w:cs="Times New Roman"/>
              </w:rPr>
              <w:t>97,6</w:t>
            </w:r>
          </w:p>
        </w:tc>
        <w:tc>
          <w:tcPr>
            <w:tcW w:w="1224" w:type="dxa"/>
            <w:shd w:val="clear" w:color="auto" w:fill="B5C0D8"/>
          </w:tcPr>
          <w:p w:rsidR="00930799" w:rsidRDefault="00DF146C">
            <w:pPr>
              <w:pStyle w:val="CellColumn"/>
              <w:jc w:val="right"/>
            </w:pPr>
            <w:r>
              <w:rPr>
                <w:rFonts w:cs="Times New Roman"/>
              </w:rPr>
              <w:t>1954,7</w:t>
            </w:r>
          </w:p>
        </w:tc>
      </w:tr>
    </w:tbl>
    <w:p w:rsidR="00930799" w:rsidRDefault="00930799">
      <w:pPr>
        <w:jc w:val="left"/>
      </w:pPr>
    </w:p>
    <w:p w:rsidR="00930799" w:rsidRDefault="00DF146C">
      <w:pPr>
        <w:pStyle w:val="Heading2"/>
      </w:pPr>
      <w:r>
        <w:t>01205 Državno izborno povjerenstvo Republike Hrvatske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0799">
        <w:trPr>
          <w:jc w:val="center"/>
        </w:trPr>
        <w:tc>
          <w:tcPr>
            <w:tcW w:w="1632" w:type="dxa"/>
            <w:shd w:val="clear" w:color="auto" w:fill="B5C0D8"/>
          </w:tcPr>
          <w:p w:rsidR="00930799" w:rsidRDefault="00930799">
            <w:pPr>
              <w:pStyle w:val="CellHeader"/>
              <w:jc w:val="center"/>
            </w:pP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Indeks izvršenje 2024./2023.</w:t>
            </w:r>
          </w:p>
        </w:tc>
      </w:tr>
      <w:tr w:rsidR="00930799">
        <w:trPr>
          <w:jc w:val="center"/>
        </w:trPr>
        <w:tc>
          <w:tcPr>
            <w:tcW w:w="1632" w:type="dxa"/>
            <w:vAlign w:val="top"/>
          </w:tcPr>
          <w:p w:rsidR="00930799" w:rsidRDefault="00DF146C">
            <w:pPr>
              <w:pStyle w:val="CellColumn"/>
              <w:jc w:val="left"/>
            </w:pPr>
            <w:r>
              <w:rPr>
                <w:rFonts w:cs="Times New Roman"/>
              </w:rPr>
              <w:t>01205-Državno izborno povjerenstvo Republike Hrvatske</w:t>
            </w:r>
          </w:p>
        </w:tc>
        <w:tc>
          <w:tcPr>
            <w:tcW w:w="2041" w:type="dxa"/>
            <w:vAlign w:val="top"/>
          </w:tcPr>
          <w:p w:rsidR="00930799" w:rsidRDefault="00DF146C">
            <w:pPr>
              <w:pStyle w:val="CellColumn"/>
              <w:jc w:val="right"/>
            </w:pPr>
            <w:r>
              <w:rPr>
                <w:rFonts w:cs="Times New Roman"/>
              </w:rPr>
              <w:t>1.593.464</w:t>
            </w:r>
          </w:p>
        </w:tc>
        <w:tc>
          <w:tcPr>
            <w:tcW w:w="2041" w:type="dxa"/>
            <w:vAlign w:val="top"/>
          </w:tcPr>
          <w:p w:rsidR="00930799" w:rsidRDefault="00DF146C">
            <w:pPr>
              <w:pStyle w:val="CellColumn"/>
              <w:jc w:val="right"/>
            </w:pPr>
            <w:r>
              <w:rPr>
                <w:rFonts w:cs="Times New Roman"/>
              </w:rPr>
              <w:t>31.919.650</w:t>
            </w:r>
          </w:p>
        </w:tc>
        <w:tc>
          <w:tcPr>
            <w:tcW w:w="2041" w:type="dxa"/>
            <w:vAlign w:val="top"/>
          </w:tcPr>
          <w:p w:rsidR="00930799" w:rsidRDefault="00DF146C">
            <w:pPr>
              <w:pStyle w:val="CellColumn"/>
              <w:jc w:val="right"/>
            </w:pPr>
            <w:r>
              <w:rPr>
                <w:rFonts w:cs="Times New Roman"/>
              </w:rPr>
              <w:t>31.147.483</w:t>
            </w:r>
          </w:p>
        </w:tc>
        <w:tc>
          <w:tcPr>
            <w:tcW w:w="1224" w:type="dxa"/>
            <w:vAlign w:val="top"/>
          </w:tcPr>
          <w:p w:rsidR="00930799" w:rsidRDefault="00DF146C">
            <w:pPr>
              <w:pStyle w:val="CellColumn"/>
              <w:jc w:val="right"/>
            </w:pPr>
            <w:r>
              <w:rPr>
                <w:rFonts w:cs="Times New Roman"/>
              </w:rPr>
              <w:t>97,6</w:t>
            </w:r>
          </w:p>
        </w:tc>
        <w:tc>
          <w:tcPr>
            <w:tcW w:w="1224" w:type="dxa"/>
            <w:vAlign w:val="top"/>
          </w:tcPr>
          <w:p w:rsidR="00930799" w:rsidRDefault="00DF146C">
            <w:pPr>
              <w:pStyle w:val="CellColumn"/>
              <w:jc w:val="right"/>
            </w:pPr>
            <w:r>
              <w:rPr>
                <w:rFonts w:cs="Times New Roman"/>
              </w:rPr>
              <w:t>1954,7</w:t>
            </w:r>
          </w:p>
        </w:tc>
      </w:tr>
      <w:tr w:rsidR="00930799">
        <w:trPr>
          <w:jc w:val="center"/>
        </w:trPr>
        <w:tc>
          <w:tcPr>
            <w:tcW w:w="1632" w:type="dxa"/>
          </w:tcPr>
          <w:p w:rsidR="00930799" w:rsidRDefault="00DF146C">
            <w:pPr>
              <w:jc w:val="left"/>
            </w:pPr>
            <w:r>
              <w:t>2124-PROVEDBA IZBORA I REFERENDUMA</w:t>
            </w:r>
          </w:p>
        </w:tc>
        <w:tc>
          <w:tcPr>
            <w:tcW w:w="2041" w:type="dxa"/>
          </w:tcPr>
          <w:p w:rsidR="00930799" w:rsidRDefault="00DF146C">
            <w:pPr>
              <w:jc w:val="right"/>
            </w:pPr>
            <w:r>
              <w:t>1.593.464</w:t>
            </w:r>
          </w:p>
        </w:tc>
        <w:tc>
          <w:tcPr>
            <w:tcW w:w="2041" w:type="dxa"/>
          </w:tcPr>
          <w:p w:rsidR="00930799" w:rsidRDefault="00DF146C">
            <w:pPr>
              <w:jc w:val="right"/>
            </w:pPr>
            <w:r>
              <w:t>31.919.650</w:t>
            </w:r>
          </w:p>
        </w:tc>
        <w:tc>
          <w:tcPr>
            <w:tcW w:w="2041" w:type="dxa"/>
          </w:tcPr>
          <w:p w:rsidR="00930799" w:rsidRDefault="00DF146C">
            <w:pPr>
              <w:jc w:val="right"/>
            </w:pPr>
            <w:r>
              <w:t>31.147.483</w:t>
            </w:r>
          </w:p>
        </w:tc>
        <w:tc>
          <w:tcPr>
            <w:tcW w:w="1224" w:type="dxa"/>
          </w:tcPr>
          <w:p w:rsidR="00930799" w:rsidRDefault="00DF146C">
            <w:pPr>
              <w:jc w:val="right"/>
            </w:pPr>
            <w:r>
              <w:t>97,6</w:t>
            </w:r>
          </w:p>
        </w:tc>
        <w:tc>
          <w:tcPr>
            <w:tcW w:w="1224" w:type="dxa"/>
          </w:tcPr>
          <w:p w:rsidR="00930799" w:rsidRDefault="00DF146C">
            <w:pPr>
              <w:jc w:val="right"/>
            </w:pPr>
            <w:r>
              <w:t>1954,7</w:t>
            </w:r>
          </w:p>
        </w:tc>
      </w:tr>
    </w:tbl>
    <w:p w:rsidR="00930799" w:rsidRDefault="00930799">
      <w:pPr>
        <w:jc w:val="left"/>
      </w:pPr>
    </w:p>
    <w:p w:rsidR="00930799" w:rsidRDefault="00DF146C">
      <w:pPr>
        <w:pStyle w:val="Heading3"/>
      </w:pPr>
      <w:r>
        <w:rPr>
          <w:rFonts w:cs="Times New Roman"/>
        </w:rPr>
        <w:t>2124 PROVEDBA IZBORA I REFERENDUMA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0799">
        <w:trPr>
          <w:jc w:val="center"/>
        </w:trPr>
        <w:tc>
          <w:tcPr>
            <w:tcW w:w="1632" w:type="dxa"/>
            <w:shd w:val="clear" w:color="auto" w:fill="B5C0D8"/>
          </w:tcPr>
          <w:p w:rsidR="00930799" w:rsidRDefault="00930799">
            <w:pPr>
              <w:pStyle w:val="CellHeader"/>
              <w:jc w:val="center"/>
            </w:pP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Index izvršenje 2024./2023.</w:t>
            </w:r>
          </w:p>
        </w:tc>
      </w:tr>
      <w:tr w:rsidR="00930799">
        <w:trPr>
          <w:jc w:val="center"/>
        </w:trPr>
        <w:tc>
          <w:tcPr>
            <w:tcW w:w="1632" w:type="dxa"/>
          </w:tcPr>
          <w:p w:rsidR="00930799" w:rsidRDefault="00DF146C">
            <w:pPr>
              <w:pStyle w:val="CellColumn"/>
              <w:jc w:val="left"/>
            </w:pPr>
            <w:r>
              <w:rPr>
                <w:rFonts w:cs="Times New Roman"/>
              </w:rPr>
              <w:lastRenderedPageBreak/>
              <w:t>2124-PROVEDBA IZBORA I REFERENDUMA</w:t>
            </w:r>
          </w:p>
        </w:tc>
        <w:tc>
          <w:tcPr>
            <w:tcW w:w="2041" w:type="dxa"/>
          </w:tcPr>
          <w:p w:rsidR="00930799" w:rsidRDefault="00DF146C">
            <w:pPr>
              <w:pStyle w:val="CellColumn"/>
              <w:jc w:val="right"/>
            </w:pPr>
            <w:r>
              <w:rPr>
                <w:rFonts w:cs="Times New Roman"/>
              </w:rPr>
              <w:t>1.593.464</w:t>
            </w:r>
          </w:p>
        </w:tc>
        <w:tc>
          <w:tcPr>
            <w:tcW w:w="2041" w:type="dxa"/>
          </w:tcPr>
          <w:p w:rsidR="00930799" w:rsidRDefault="00DF146C">
            <w:pPr>
              <w:pStyle w:val="CellColumn"/>
              <w:jc w:val="right"/>
            </w:pPr>
            <w:r>
              <w:rPr>
                <w:rFonts w:cs="Times New Roman"/>
              </w:rPr>
              <w:t>31.919.650</w:t>
            </w:r>
          </w:p>
        </w:tc>
        <w:tc>
          <w:tcPr>
            <w:tcW w:w="2041" w:type="dxa"/>
          </w:tcPr>
          <w:p w:rsidR="00930799" w:rsidRDefault="00DF146C">
            <w:pPr>
              <w:pStyle w:val="CellColumn"/>
              <w:jc w:val="right"/>
            </w:pPr>
            <w:r>
              <w:rPr>
                <w:rFonts w:cs="Times New Roman"/>
              </w:rPr>
              <w:t>31.147.483</w:t>
            </w:r>
          </w:p>
        </w:tc>
        <w:tc>
          <w:tcPr>
            <w:tcW w:w="1224" w:type="dxa"/>
          </w:tcPr>
          <w:p w:rsidR="00930799" w:rsidRDefault="00DF146C">
            <w:pPr>
              <w:pStyle w:val="CellColumn"/>
              <w:jc w:val="right"/>
            </w:pPr>
            <w:r>
              <w:rPr>
                <w:rFonts w:cs="Times New Roman"/>
              </w:rPr>
              <w:t>97,6</w:t>
            </w:r>
          </w:p>
        </w:tc>
        <w:tc>
          <w:tcPr>
            <w:tcW w:w="1224" w:type="dxa"/>
          </w:tcPr>
          <w:p w:rsidR="00930799" w:rsidRDefault="00DF146C">
            <w:pPr>
              <w:pStyle w:val="CellColumn"/>
              <w:jc w:val="right"/>
            </w:pPr>
            <w:r>
              <w:rPr>
                <w:rFonts w:cs="Times New Roman"/>
              </w:rPr>
              <w:t>1954,7</w:t>
            </w:r>
          </w:p>
        </w:tc>
      </w:tr>
    </w:tbl>
    <w:p w:rsidR="00930799" w:rsidRDefault="00930799">
      <w:pPr>
        <w:jc w:val="left"/>
      </w:pPr>
    </w:p>
    <w:p w:rsidR="00930799" w:rsidRDefault="00DF146C">
      <w:r>
        <w:t>Nadležnost Državnog izbornog povjerenstva dijeli se na: nadležnost Državnog izbornog povjerenstva koja se odnosi na provedbu izbora i referenduma; nadležnost Državnog izbornog povjerenstva koja se odnosi na provedbu nadzora financiranja političkih aktivnos</w:t>
      </w:r>
      <w:r>
        <w:t>ti (dalje: redovan godišnji nadzor financiranja), nadzora financiranja izborne promidžbe i nadzora financiranja referendumskih aktivnosti i na ostale nadležnosti Državnog izbornog povjerenstva propisane člankom 11. st. 2. Zakona o Državnom izbornom povjere</w:t>
      </w:r>
      <w:r>
        <w:t xml:space="preserve">nstvu Republike Hrvatske.  </w:t>
      </w:r>
    </w:p>
    <w:p w:rsidR="00930799" w:rsidRDefault="00DF146C">
      <w:r>
        <w:t>Tijekom 2024. Državno izborno povjerenstvo provodilo je nadzor redovnog godišnjeg financiranja za 2023., i to nad: 165 političkih stranaka od čega 18 parlamentarnih političkih stranaka, a 147 izvanparlamentarnih političkih stran</w:t>
      </w:r>
      <w:r>
        <w:t xml:space="preserve">aka, 5 nezavisnih zastupnika i 1.023 nezavisnih vijećnika. </w:t>
      </w:r>
    </w:p>
    <w:p w:rsidR="00930799" w:rsidRDefault="00DF146C">
      <w:r>
        <w:t>Tijekom 2024. provedeni su izbori za zastupnike u Hrvatski sabor (dalje: Izbori zastupnika) koji su održani 16., 17. te 21. travnja 2024., izbori članova u Europski parlament iz Republike Hrvatske</w:t>
      </w:r>
      <w:r>
        <w:t xml:space="preserve"> (dalje: Europski izbori) koji su održani 9. lipnja 2024., te prvi krug izbora za predsjednika Republike Hrvatske (dalje: Predsjednički izbori) koji je održan 29. prosinca 2024. </w:t>
      </w:r>
    </w:p>
    <w:p w:rsidR="00930799" w:rsidRDefault="00DF146C">
      <w:r>
        <w:t>Tijekom 2024. održani su i prijevremeni lokalni izbori i to: prijevremeni izb</w:t>
      </w:r>
      <w:r>
        <w:t>ori za zamjenika općinskog načelnika Općine Pribislavec iz reda pripadnika romske nacionalne manjine 10. ožujka 2024., prijevremeni izbori za gradonačelnika i zamjenika gradonačelnika Grada Gospića te za općinskog načelnika Općine Raša 9. lipnja 2024., pri</w:t>
      </w:r>
      <w:r>
        <w:t>jevremeni izbori za općinskog načelnika Općine Smokvica 18. kolovoza 2024., prijevremeni izbori za gradonačelnika Grada Otoka 1. prosinca 2024. te prijevremeni izbori za članove Općinskog vijeća Općine Otok i općinskog načelnika Općine Otok 8. prosinca 202</w:t>
      </w:r>
      <w:r>
        <w:t xml:space="preserve">4. </w:t>
      </w:r>
    </w:p>
    <w:p w:rsidR="00930799" w:rsidRDefault="00DF146C">
      <w:r>
        <w:t>Nastavno na izbore održane tijekom 2024. proveden je nadzor financiranja izborne promidžbe svih izbornih sudionika na Izborima zastupnika (26 političkih stranaka, 2 neovisne liste te 15 izbornih sudionika u XII. izbornoj jedinici u kojoj pripadnici nac</w:t>
      </w:r>
      <w:r>
        <w:t>ionalnih manjina u Republici Hrvatskoj biraju zastupnike u Hrvatski sabor), na Europskim izborima (23 političke stranke i 2 kandidacijske liste grupe birača), te nadzor financiranja izborne promidžbe svih izbornih sudionika na prijevremenim lokalnim izbori</w:t>
      </w:r>
      <w:r>
        <w:t>ma.</w:t>
      </w:r>
    </w:p>
    <w:p w:rsidR="00930799" w:rsidRDefault="00DF146C">
      <w:pPr>
        <w:pStyle w:val="Heading8"/>
        <w:jc w:val="left"/>
      </w:pPr>
      <w:r>
        <w:t>Cilj 1. Educirani članovi izbornih tijela, tijela koja provode referendume i birači</w:t>
      </w:r>
    </w:p>
    <w:p w:rsidR="00930799" w:rsidRDefault="00DF146C">
      <w:pPr>
        <w:pStyle w:val="Heading8"/>
        <w:jc w:val="left"/>
      </w:pPr>
      <w:r>
        <w:t>Opis provedbe cilja programa</w:t>
      </w:r>
    </w:p>
    <w:p w:rsidR="00930799" w:rsidRDefault="00DF146C">
      <w:r>
        <w:t>Strateškim planom Državnog izbornog povjerenstva Republike Hrvatske za razdoblje 2024.-2026. (dalje: Strateški plan), utvrđena je aktivnost</w:t>
      </w:r>
      <w:r>
        <w:t xml:space="preserve"> koja je realizirana tijekom 2024. – edukacije izbornih tijela, tijela koja provode referendume i birača.  </w:t>
      </w:r>
    </w:p>
    <w:p w:rsidR="00930799" w:rsidRDefault="00DF146C">
      <w:r>
        <w:t>Od trenutka pojave epidemije koronavirusa planirane edukacije su u načelu održavane u obliku webinara ili on-line školskih satova, umjesto održavanj</w:t>
      </w:r>
      <w:r>
        <w:t>a edukacija na terenu. U 2024. je, zbog provedbe većeg broja izbora, 25. ožujka 2024. u Gradu Zagrebu održana edukacija za izborna povjerenstva izbornih jedinica za provedbu Izbora zastupnika i županijska izborna povjerenstva za provedbu Europskih izbora t</w:t>
      </w:r>
      <w:r>
        <w:t xml:space="preserve">e informatičke koordinatore. </w:t>
      </w:r>
    </w:p>
    <w:p w:rsidR="00930799" w:rsidRDefault="00DF146C">
      <w:r>
        <w:t>Isto tako, 23. ožujka 2024. održana je edukacija s predstavnicima Ministarstva vanjskih i europskih poslova, Ministarstva pravosuđa i uprave (sada: Ministarstvo pravosuđa, uprave i digitalne transformacije), APIS IT-a te diplo</w:t>
      </w:r>
      <w:r>
        <w:t xml:space="preserve">matsko-konzularnih povjerenstava Republike Hrvatske u europskim zemljama </w:t>
      </w:r>
    </w:p>
    <w:p w:rsidR="00930799" w:rsidRDefault="00DF146C">
      <w:r>
        <w:t>Pored navedenog, članovi biračkih odbora na Izborima zastupnika, Europskim izborima i Predsjedničkim izborima imali su na raspolaganju webinare koji su izrađeni u suradnji sa CARNET-</w:t>
      </w:r>
      <w:r>
        <w:t xml:space="preserve">om, kao i podsjetnike za rad biračkih odbora. Webinari i podsjetnici objavljeni su na mrežnoj stranici Državnog izbornog povjerenstva. </w:t>
      </w:r>
    </w:p>
    <w:p w:rsidR="00930799" w:rsidRDefault="00DF146C">
      <w:r>
        <w:t>U pogledu edukacije birača, a u okviru pripreme i provedbe Izbora zastupnika, Europskih izbora i Predsjedničkih izbora n</w:t>
      </w:r>
      <w:r>
        <w:t xml:space="preserve">a mrežnoj stranici Državnog izbornog povjerenstva objavljena su priopćenja odnosno obavijesti te pregled najčešćih pitanja i odgovora u svrhu informiranja birača o navedenim izborima.  </w:t>
      </w:r>
    </w:p>
    <w:p w:rsidR="00930799" w:rsidRDefault="00DF146C">
      <w:r>
        <w:t>U 2024. su, a što je novost u edukaciji birača u odnosu na prethodne g</w:t>
      </w:r>
      <w:r>
        <w:t xml:space="preserve">odine, izrađeni i na mrežnoj stranici Državnog izbornog povjerenstva objavljeni kratki webinari, u kojima se birače upoznaje s biračkim pravom, načinom glasovanja i izborima općenito, vezani uz Izbore zastupnika, Europske izbore te Predsjedničke izbore. </w:t>
      </w:r>
    </w:p>
    <w:p w:rsidR="00930799" w:rsidRDefault="00DF146C">
      <w:r>
        <w:lastRenderedPageBreak/>
        <w:t>I</w:t>
      </w:r>
      <w:r>
        <w:t>sto tako, za gluhe i nagluhe birače izrađeni su webinari  vezani uz Izbore zastupnika, Europske izbore i Predsjedničke izbore prilagođeni i snimljeni s titlovima i sa znakovnim jezikom. Takvi webinari objavljeni su na mrežnoj stranici Povjerenstva, ali i H</w:t>
      </w:r>
      <w:r>
        <w:t xml:space="preserve">rvatskog saveza gluhih i nagluhih kako bi bili što pristupačniji ciljanoj skupini birača. </w:t>
      </w:r>
    </w:p>
    <w:p w:rsidR="00930799" w:rsidRDefault="00DF146C">
      <w:r>
        <w:t>Tijekom 2024. nastavilo se s provedbom projekta edukacije mladih birača pod nazivom "I moj glas je bitan!". Educirani su učenici završnih razreda srednjih škola na n</w:t>
      </w:r>
      <w:r>
        <w:t>ačin da ih se informiralo o načinu ostvarenja aktivnog i pasivnog biračkog prava s posebnim naglaskom na izbore održane tijekom 2024. – Izbore zastupnika, Europske izbore i Predsjedničke izbore, ali i lokalne izbore koji slijede u 2025. Tijekom 2024. održa</w:t>
      </w:r>
      <w:r>
        <w:t>no je ukupno 19 edukacija u trajanju jednog školskog sata, i to u 12 srednjih škola različitih usmjerenja, na području 7 gradova, u 6 županija i Gradu Zagrebu, a na kojima je sudjelovalo ukupno 784 učenika.</w:t>
      </w:r>
    </w:p>
    <w:p w:rsidR="00930799" w:rsidRDefault="00DF146C">
      <w:pPr>
        <w:pStyle w:val="Heading8"/>
        <w:jc w:val="left"/>
      </w:pPr>
      <w:r>
        <w:t>Cilj 2. Učinkovit i transparentan nadzor financir</w:t>
      </w:r>
      <w:r>
        <w:t>anja političkih aktivnosti, izborne promidžbe i referendumske aktivnosti</w:t>
      </w:r>
    </w:p>
    <w:p w:rsidR="00930799" w:rsidRDefault="00DF146C">
      <w:pPr>
        <w:pStyle w:val="Heading8"/>
        <w:jc w:val="left"/>
      </w:pPr>
      <w:r>
        <w:t>Opis provedbe cilja programa</w:t>
      </w:r>
    </w:p>
    <w:p w:rsidR="00930799" w:rsidRDefault="00DF146C">
      <w:r>
        <w:t xml:space="preserve">Strateškim planom utvrđene su aktivnosti koje su u cijelosti realizirane tijekom 2024. – na mrežnoj stranici Državnog izbornog povjerenstva objavljene su </w:t>
      </w:r>
      <w:r>
        <w:t>on-line edukacije namijenjene subjektima nad kojima Državno izborno povjerenstvo provodi nadzor redovnog financiranja, te on-line edukacije namjenjene subjektima nad kojima Državno izborno povjerenstvo provodi nadzor financiranja izborne promidžbe kao i on</w:t>
      </w:r>
      <w:r>
        <w:t xml:space="preserve">-line edukacije namijenjene sudionicima referendumske aktivnosti.  </w:t>
      </w:r>
    </w:p>
    <w:p w:rsidR="00930799" w:rsidRDefault="00DF146C">
      <w:r>
        <w:t>Pored navedenog, na mrežnoj stranici Državnog izbornog povjerenstva objavljeni su webinari za edukaciju subjekata nad kojima Državno izborno povjerenstvo provodi redovni nadzor financiranj</w:t>
      </w:r>
      <w:r>
        <w:t>a te webinari za edukaciju subjekata nad kojima Državno izborno povjerenstvo provodi nadzor financiranja izborne promidžbe, što je jedna od aktivnosti Državnog izbornog povjerenstva iz Akcijskog plana za razdoblje od 2022. do 2024. godine uz Strategiju spr</w:t>
      </w:r>
      <w:r>
        <w:t>ječavanja korupcije za razdoblje od 2021. do 2030. godine.</w:t>
      </w:r>
    </w:p>
    <w:p w:rsidR="00930799" w:rsidRDefault="00DF146C">
      <w:pPr>
        <w:pStyle w:val="Heading8"/>
        <w:jc w:val="left"/>
      </w:pPr>
      <w:r>
        <w:t>Cilj 3. Jedinstvena informatička podrška s transparentno i pravovremeno javno objavljenim podacima o provedenim izborima</w:t>
      </w:r>
    </w:p>
    <w:p w:rsidR="00930799" w:rsidRDefault="00DF146C">
      <w:pPr>
        <w:pStyle w:val="Heading8"/>
        <w:jc w:val="left"/>
      </w:pPr>
      <w:r>
        <w:t>Opis provedbe cilja programa</w:t>
      </w:r>
    </w:p>
    <w:p w:rsidR="00930799" w:rsidRDefault="00DF146C">
      <w:r>
        <w:t>Strateškim planom utvrđena je aktivnost koja je u cijelosti realizirana tijekom 2024. – zaključeni su ugovori o pružanju informatičke podrške na Izborima zastupnika, Europskim izborima, Predsjedničkim izborima te ugovor o pružanju informatičke podrške prij</w:t>
      </w:r>
      <w:r>
        <w:t>evremenim lokalnim izborima.</w:t>
      </w:r>
    </w:p>
    <w:p w:rsidR="00930799" w:rsidRDefault="00DF146C">
      <w:pPr>
        <w:pStyle w:val="Heading8"/>
        <w:jc w:val="left"/>
      </w:pPr>
      <w:r>
        <w:t>Pokazatelji učinka</w:t>
      </w:r>
    </w:p>
    <w:tbl>
      <w:tblPr>
        <w:tblStyle w:val="StilTablice"/>
        <w:tblW w:w="10206" w:type="dxa"/>
        <w:jc w:val="center"/>
        <w:tblLook w:val="04A0" w:firstRow="1" w:lastRow="0" w:firstColumn="1" w:lastColumn="0" w:noHBand="0" w:noVBand="1"/>
      </w:tblPr>
      <w:tblGrid>
        <w:gridCol w:w="2546"/>
        <w:gridCol w:w="2544"/>
        <w:gridCol w:w="1036"/>
        <w:gridCol w:w="1020"/>
        <w:gridCol w:w="1020"/>
        <w:gridCol w:w="1020"/>
        <w:gridCol w:w="1020"/>
      </w:tblGrid>
      <w:tr w:rsidR="00930799">
        <w:trPr>
          <w:jc w:val="center"/>
        </w:trPr>
        <w:tc>
          <w:tcPr>
            <w:tcW w:w="2551" w:type="dxa"/>
            <w:shd w:val="clear" w:color="auto" w:fill="B5C0D8"/>
          </w:tcPr>
          <w:p w:rsidR="00930799" w:rsidRDefault="00DF146C">
            <w:pPr>
              <w:jc w:val="center"/>
            </w:pPr>
            <w:r>
              <w:t>Pokazatelj učinka</w:t>
            </w:r>
          </w:p>
        </w:tc>
        <w:tc>
          <w:tcPr>
            <w:tcW w:w="2551" w:type="dxa"/>
            <w:shd w:val="clear" w:color="auto" w:fill="B5C0D8"/>
          </w:tcPr>
          <w:p w:rsidR="00930799" w:rsidRDefault="00DF146C">
            <w:pPr>
              <w:pStyle w:val="CellHeader"/>
              <w:jc w:val="center"/>
            </w:pPr>
            <w:r>
              <w:rPr>
                <w:rFonts w:cs="Times New Roman"/>
              </w:rPr>
              <w:t>Definicija</w:t>
            </w:r>
          </w:p>
        </w:tc>
        <w:tc>
          <w:tcPr>
            <w:tcW w:w="1020" w:type="dxa"/>
            <w:shd w:val="clear" w:color="auto" w:fill="B5C0D8"/>
          </w:tcPr>
          <w:p w:rsidR="00930799" w:rsidRDefault="00DF146C">
            <w:pPr>
              <w:pStyle w:val="CellHeader"/>
              <w:jc w:val="center"/>
            </w:pPr>
            <w:r>
              <w:rPr>
                <w:rFonts w:cs="Times New Roman"/>
              </w:rPr>
              <w:t>Jedinica</w:t>
            </w:r>
          </w:p>
        </w:tc>
        <w:tc>
          <w:tcPr>
            <w:tcW w:w="1020" w:type="dxa"/>
            <w:shd w:val="clear" w:color="auto" w:fill="B5C0D8"/>
          </w:tcPr>
          <w:p w:rsidR="00930799" w:rsidRDefault="00DF146C">
            <w:pPr>
              <w:pStyle w:val="CellHeader"/>
              <w:jc w:val="center"/>
            </w:pPr>
            <w:r>
              <w:rPr>
                <w:rFonts w:cs="Times New Roman"/>
              </w:rPr>
              <w:t>Polazna vrijednost</w:t>
            </w:r>
          </w:p>
        </w:tc>
        <w:tc>
          <w:tcPr>
            <w:tcW w:w="918" w:type="dxa"/>
            <w:shd w:val="clear" w:color="auto" w:fill="B5C0D8"/>
          </w:tcPr>
          <w:p w:rsidR="00930799" w:rsidRDefault="00DF146C">
            <w:pPr>
              <w:pStyle w:val="CellHeader"/>
              <w:jc w:val="center"/>
            </w:pPr>
            <w:r>
              <w:rPr>
                <w:rFonts w:cs="Times New Roman"/>
              </w:rPr>
              <w:t>Izvor podataka</w:t>
            </w:r>
          </w:p>
        </w:tc>
        <w:tc>
          <w:tcPr>
            <w:tcW w:w="1020" w:type="dxa"/>
            <w:shd w:val="clear" w:color="auto" w:fill="B5C0D8"/>
          </w:tcPr>
          <w:p w:rsidR="00930799" w:rsidRDefault="00DF146C">
            <w:pPr>
              <w:pStyle w:val="CellHeader"/>
              <w:jc w:val="center"/>
            </w:pPr>
            <w:r>
              <w:rPr>
                <w:rFonts w:cs="Times New Roman"/>
              </w:rPr>
              <w:t>Ciljana vrijednost (2024.)</w:t>
            </w:r>
          </w:p>
        </w:tc>
        <w:tc>
          <w:tcPr>
            <w:tcW w:w="1020" w:type="dxa"/>
            <w:shd w:val="clear" w:color="auto" w:fill="B5C0D8"/>
          </w:tcPr>
          <w:p w:rsidR="00930799" w:rsidRDefault="00DF146C">
            <w:pPr>
              <w:pStyle w:val="CellHeader"/>
              <w:jc w:val="center"/>
            </w:pPr>
            <w:r>
              <w:rPr>
                <w:rFonts w:cs="Times New Roman"/>
              </w:rPr>
              <w:t>Ostvarena vrijednost (2024.)</w:t>
            </w:r>
          </w:p>
        </w:tc>
      </w:tr>
      <w:tr w:rsidR="00930799">
        <w:trPr>
          <w:jc w:val="center"/>
        </w:trPr>
        <w:tc>
          <w:tcPr>
            <w:tcW w:w="2551" w:type="dxa"/>
          </w:tcPr>
          <w:p w:rsidR="00930799" w:rsidRDefault="00DF146C">
            <w:pPr>
              <w:pStyle w:val="CellColumn"/>
              <w:jc w:val="left"/>
            </w:pPr>
            <w:r>
              <w:rPr>
                <w:rFonts w:cs="Times New Roman"/>
              </w:rPr>
              <w:t>Postupanje članova izbornih tijela sukladno izbornom zakonu i obvezatnim uputam</w:t>
            </w:r>
            <w:r>
              <w:rPr>
                <w:rFonts w:cs="Times New Roman"/>
              </w:rPr>
              <w:t>a Državnog izbornog povjerenstva i ostvarivanje aktivnog i pasivnog biračkog prava od strane mladih birača</w:t>
            </w:r>
          </w:p>
        </w:tc>
        <w:tc>
          <w:tcPr>
            <w:tcW w:w="2551" w:type="dxa"/>
          </w:tcPr>
          <w:p w:rsidR="00930799" w:rsidRDefault="00DF146C">
            <w:pPr>
              <w:pStyle w:val="CellColumn"/>
              <w:jc w:val="left"/>
            </w:pPr>
            <w:r>
              <w:rPr>
                <w:rFonts w:cs="Times New Roman"/>
              </w:rPr>
              <w:t>Članovi izbornih tijela, tijela koja provode referendume i mladi birači educirani kroz webinare i podsjetnike</w:t>
            </w:r>
          </w:p>
        </w:tc>
        <w:tc>
          <w:tcPr>
            <w:tcW w:w="1020" w:type="dxa"/>
          </w:tcPr>
          <w:p w:rsidR="00930799" w:rsidRDefault="00DF146C">
            <w:pPr>
              <w:pStyle w:val="CellColumn"/>
              <w:jc w:val="right"/>
            </w:pPr>
            <w:r>
              <w:rPr>
                <w:rFonts w:cs="Times New Roman"/>
              </w:rPr>
              <w:t>Postotak educiranih članova izbornih tijela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prethodnu godinu</w:t>
            </w:r>
          </w:p>
        </w:tc>
        <w:tc>
          <w:tcPr>
            <w:tcW w:w="1020" w:type="dxa"/>
          </w:tcPr>
          <w:p w:rsidR="00930799" w:rsidRDefault="00DF146C">
            <w:pPr>
              <w:pStyle w:val="CellColumn"/>
              <w:jc w:val="right"/>
            </w:pPr>
            <w:r>
              <w:rPr>
                <w:rFonts w:cs="Times New Roman"/>
              </w:rPr>
              <w:t>80%</w:t>
            </w:r>
          </w:p>
        </w:tc>
        <w:tc>
          <w:tcPr>
            <w:tcW w:w="1020" w:type="dxa"/>
          </w:tcPr>
          <w:p w:rsidR="00930799" w:rsidRDefault="00DF146C">
            <w:pPr>
              <w:pStyle w:val="CellColumn"/>
              <w:jc w:val="right"/>
            </w:pPr>
            <w:r>
              <w:rPr>
                <w:rFonts w:cs="Times New Roman"/>
              </w:rPr>
              <w:t>80%</w:t>
            </w:r>
          </w:p>
        </w:tc>
      </w:tr>
      <w:tr w:rsidR="00930799">
        <w:trPr>
          <w:jc w:val="center"/>
        </w:trPr>
        <w:tc>
          <w:tcPr>
            <w:tcW w:w="2551" w:type="dxa"/>
          </w:tcPr>
          <w:p w:rsidR="00930799" w:rsidRDefault="00DF146C">
            <w:pPr>
              <w:pStyle w:val="CellColumn"/>
              <w:jc w:val="left"/>
            </w:pPr>
            <w:r>
              <w:rPr>
                <w:rFonts w:cs="Times New Roman"/>
              </w:rPr>
              <w:t>Smanjenje broja povreda zakona od strane subjekata nad kojima Državno izborno povjerenstvo provodi redovni nadzor financiranja,nadzor financiranja izborne promidžbe i n</w:t>
            </w:r>
            <w:r>
              <w:rPr>
                <w:rFonts w:cs="Times New Roman"/>
              </w:rPr>
              <w:t>adzor financiranja referenduma</w:t>
            </w:r>
          </w:p>
        </w:tc>
        <w:tc>
          <w:tcPr>
            <w:tcW w:w="2551" w:type="dxa"/>
          </w:tcPr>
          <w:p w:rsidR="00930799" w:rsidRDefault="00DF146C">
            <w:pPr>
              <w:pStyle w:val="CellColumn"/>
              <w:jc w:val="left"/>
            </w:pPr>
            <w:r>
              <w:rPr>
                <w:rFonts w:cs="Times New Roman"/>
              </w:rPr>
              <w:t>Subjekti nad kojima se provodi redovni nadzor financiranja, nadzor financiranja izborne promižbe i nadzor financiranja referenduma, educirani kroz on-line edukacije i webinare</w:t>
            </w:r>
          </w:p>
        </w:tc>
        <w:tc>
          <w:tcPr>
            <w:tcW w:w="1020" w:type="dxa"/>
          </w:tcPr>
          <w:p w:rsidR="00930799" w:rsidRDefault="00DF146C">
            <w:pPr>
              <w:pStyle w:val="CellColumn"/>
              <w:jc w:val="right"/>
            </w:pPr>
            <w:r>
              <w:rPr>
                <w:rFonts w:cs="Times New Roman"/>
              </w:rPr>
              <w:t>Postotak educiranih subjekata nadzora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prethodnu godinu</w:t>
            </w:r>
          </w:p>
        </w:tc>
        <w:tc>
          <w:tcPr>
            <w:tcW w:w="1020" w:type="dxa"/>
          </w:tcPr>
          <w:p w:rsidR="00930799" w:rsidRDefault="00DF146C">
            <w:pPr>
              <w:pStyle w:val="CellColumn"/>
              <w:jc w:val="right"/>
            </w:pPr>
            <w:r>
              <w:rPr>
                <w:rFonts w:cs="Times New Roman"/>
              </w:rPr>
              <w:t>60%</w:t>
            </w:r>
          </w:p>
        </w:tc>
        <w:tc>
          <w:tcPr>
            <w:tcW w:w="1020" w:type="dxa"/>
          </w:tcPr>
          <w:p w:rsidR="00930799" w:rsidRDefault="00DF146C">
            <w:pPr>
              <w:pStyle w:val="CellColumn"/>
              <w:jc w:val="right"/>
            </w:pPr>
            <w:r>
              <w:rPr>
                <w:rFonts w:cs="Times New Roman"/>
              </w:rPr>
              <w:t>60%</w:t>
            </w:r>
          </w:p>
        </w:tc>
      </w:tr>
      <w:tr w:rsidR="00930799">
        <w:trPr>
          <w:jc w:val="center"/>
        </w:trPr>
        <w:tc>
          <w:tcPr>
            <w:tcW w:w="2551" w:type="dxa"/>
          </w:tcPr>
          <w:p w:rsidR="00930799" w:rsidRDefault="00DF146C">
            <w:pPr>
              <w:pStyle w:val="CellColumn"/>
              <w:jc w:val="left"/>
            </w:pPr>
            <w:r>
              <w:rPr>
                <w:rFonts w:cs="Times New Roman"/>
              </w:rPr>
              <w:t>Broj zaključenih ugovora o pružanju jedinstvene informatičke podrške izborima</w:t>
            </w:r>
          </w:p>
        </w:tc>
        <w:tc>
          <w:tcPr>
            <w:tcW w:w="2551" w:type="dxa"/>
          </w:tcPr>
          <w:p w:rsidR="00930799" w:rsidRDefault="00DF146C">
            <w:pPr>
              <w:pStyle w:val="CellColumn"/>
              <w:jc w:val="left"/>
            </w:pPr>
            <w:r>
              <w:rPr>
                <w:rFonts w:cs="Times New Roman"/>
              </w:rPr>
              <w:t>Ugovorom regulirana jedinstvena informatička podrška</w:t>
            </w:r>
          </w:p>
        </w:tc>
        <w:tc>
          <w:tcPr>
            <w:tcW w:w="1020" w:type="dxa"/>
          </w:tcPr>
          <w:p w:rsidR="00930799" w:rsidRDefault="00DF146C">
            <w:pPr>
              <w:pStyle w:val="CellColumn"/>
              <w:jc w:val="right"/>
            </w:pPr>
            <w:r>
              <w:rPr>
                <w:rFonts w:cs="Times New Roman"/>
              </w:rPr>
              <w:t>Broj zaključenih ugovora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prethodnu godinu</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3</w:t>
            </w:r>
          </w:p>
        </w:tc>
      </w:tr>
    </w:tbl>
    <w:p w:rsidR="00930799" w:rsidRDefault="00930799">
      <w:pPr>
        <w:jc w:val="left"/>
      </w:pPr>
    </w:p>
    <w:p w:rsidR="00930799" w:rsidRDefault="00DF146C">
      <w:pPr>
        <w:pStyle w:val="Heading4"/>
      </w:pPr>
      <w:r>
        <w:lastRenderedPageBreak/>
        <w:t>A896001 PROVEDBA IZBORA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0799">
        <w:trPr>
          <w:jc w:val="center"/>
        </w:trPr>
        <w:tc>
          <w:tcPr>
            <w:tcW w:w="1632" w:type="dxa"/>
            <w:shd w:val="clear" w:color="auto" w:fill="B5C0D8"/>
          </w:tcPr>
          <w:p w:rsidR="00930799" w:rsidRDefault="00DF146C">
            <w:pPr>
              <w:pStyle w:val="CellHeader"/>
              <w:jc w:val="center"/>
            </w:pPr>
            <w:r>
              <w:rPr>
                <w:rFonts w:cs="Times New Roman"/>
              </w:rPr>
              <w:t>Naziv aktivnosti</w:t>
            </w: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Indeks izvršenje 2024./2023.</w:t>
            </w:r>
          </w:p>
        </w:tc>
      </w:tr>
      <w:tr w:rsidR="00930799">
        <w:trPr>
          <w:jc w:val="center"/>
        </w:trPr>
        <w:tc>
          <w:tcPr>
            <w:tcW w:w="1632" w:type="dxa"/>
          </w:tcPr>
          <w:p w:rsidR="00930799" w:rsidRDefault="00DF146C">
            <w:pPr>
              <w:pStyle w:val="CellColumn"/>
              <w:jc w:val="left"/>
            </w:pPr>
            <w:r>
              <w:rPr>
                <w:rFonts w:cs="Times New Roman"/>
              </w:rPr>
              <w:t>A896001-PROVEDBA IZBORA</w:t>
            </w:r>
          </w:p>
        </w:tc>
        <w:tc>
          <w:tcPr>
            <w:tcW w:w="2041" w:type="dxa"/>
          </w:tcPr>
          <w:p w:rsidR="00930799" w:rsidRDefault="00DF146C">
            <w:pPr>
              <w:pStyle w:val="CellColumn"/>
              <w:jc w:val="right"/>
            </w:pPr>
            <w:r>
              <w:rPr>
                <w:rFonts w:cs="Times New Roman"/>
              </w:rPr>
              <w:t>374.086</w:t>
            </w:r>
          </w:p>
        </w:tc>
        <w:tc>
          <w:tcPr>
            <w:tcW w:w="2041" w:type="dxa"/>
          </w:tcPr>
          <w:p w:rsidR="00930799" w:rsidRDefault="00DF146C">
            <w:pPr>
              <w:pStyle w:val="CellColumn"/>
              <w:jc w:val="right"/>
            </w:pPr>
            <w:r>
              <w:rPr>
                <w:rFonts w:cs="Times New Roman"/>
              </w:rPr>
              <w:t>30.020.978</w:t>
            </w:r>
          </w:p>
        </w:tc>
        <w:tc>
          <w:tcPr>
            <w:tcW w:w="2041" w:type="dxa"/>
          </w:tcPr>
          <w:p w:rsidR="00930799" w:rsidRDefault="00DF146C">
            <w:pPr>
              <w:pStyle w:val="CellColumn"/>
              <w:jc w:val="right"/>
            </w:pPr>
            <w:r>
              <w:rPr>
                <w:rFonts w:cs="Times New Roman"/>
              </w:rPr>
              <w:t>29.618.230</w:t>
            </w:r>
          </w:p>
        </w:tc>
        <w:tc>
          <w:tcPr>
            <w:tcW w:w="1224" w:type="dxa"/>
          </w:tcPr>
          <w:p w:rsidR="00930799" w:rsidRDefault="00DF146C">
            <w:pPr>
              <w:pStyle w:val="CellColumn"/>
              <w:jc w:val="right"/>
            </w:pPr>
            <w:r>
              <w:rPr>
                <w:rFonts w:cs="Times New Roman"/>
              </w:rPr>
              <w:t>98,7</w:t>
            </w:r>
          </w:p>
        </w:tc>
        <w:tc>
          <w:tcPr>
            <w:tcW w:w="1224" w:type="dxa"/>
          </w:tcPr>
          <w:p w:rsidR="00930799" w:rsidRDefault="00DF146C">
            <w:pPr>
              <w:pStyle w:val="CellColumn"/>
              <w:jc w:val="right"/>
            </w:pPr>
            <w:r>
              <w:rPr>
                <w:rFonts w:cs="Times New Roman"/>
              </w:rPr>
              <w:t>7917,5</w:t>
            </w:r>
          </w:p>
        </w:tc>
      </w:tr>
    </w:tbl>
    <w:p w:rsidR="00930799" w:rsidRDefault="00930799">
      <w:pPr>
        <w:jc w:val="left"/>
      </w:pPr>
    </w:p>
    <w:p w:rsidR="00930799" w:rsidRDefault="00DF146C">
      <w:pPr>
        <w:pStyle w:val="Heading8"/>
        <w:jc w:val="left"/>
      </w:pPr>
      <w:r>
        <w:t>Zakonske i druge pravne osnove</w:t>
      </w:r>
    </w:p>
    <w:p w:rsidR="00930799" w:rsidRDefault="00DF146C">
      <w:r>
        <w:t xml:space="preserve">Zakon o izborima članova u Europski parlament iz Republike Hrvatske – čl. 60. st. 1. </w:t>
      </w:r>
    </w:p>
    <w:p w:rsidR="00930799" w:rsidRDefault="00DF146C">
      <w:r>
        <w:t xml:space="preserve">Zakon o izborima zastupnika u Hrvatski sabor – čl. 95. st. 1. </w:t>
      </w:r>
    </w:p>
    <w:p w:rsidR="00930799" w:rsidRDefault="00DF146C">
      <w:r>
        <w:t xml:space="preserve">Zakon o izboru predsjednika Republike Hrvatske – čl. 42. st. 1. i 2.  </w:t>
      </w:r>
    </w:p>
    <w:p w:rsidR="00930799" w:rsidRDefault="00DF146C">
      <w:r>
        <w:t>Zakon</w:t>
      </w:r>
      <w:r>
        <w:t xml:space="preserve"> o lokalnim izborima – čl. 126. st. 2. u svezi čl. 26. st. 2., čl. 86. st. 3. i čl. 102. st. 3.  </w:t>
      </w:r>
    </w:p>
    <w:p w:rsidR="00930799" w:rsidRDefault="00DF146C">
      <w:r>
        <w:t>Zakon o financiranju političkih aktivnosti, izborne promidžbe i referenduma</w:t>
      </w:r>
    </w:p>
    <w:p w:rsidR="00930799" w:rsidRDefault="00DF146C">
      <w:pPr>
        <w:pStyle w:val="Heading8"/>
        <w:jc w:val="left"/>
      </w:pPr>
      <w:r>
        <w:t>Opis aktivnosti</w:t>
      </w:r>
    </w:p>
    <w:p w:rsidR="00930799" w:rsidRDefault="00DF146C">
      <w:r>
        <w:t>Tijekom 2024. održani su Izbori zastupnika, Europski izbori i Pred</w:t>
      </w:r>
      <w:r>
        <w:t>sjednički izbori (1. krug) te veći broj prijevremenih lokalnih izbora. Sukladno zakonskim propisima sredstva za pokriće svih troškova provedbe izbora na državnoj razini osiguravaju se u državnom proračunu Republike Hrvatske na razdjelu Državnog izbornog po</w:t>
      </w:r>
      <w:r>
        <w:t xml:space="preserve">vjerenstva Republike Hrvatske.  </w:t>
      </w:r>
    </w:p>
    <w:p w:rsidR="00930799" w:rsidRDefault="00DF146C">
      <w:r>
        <w:t xml:space="preserve">Na aktivnosti Provedba izbora utrošeno je 29.618.230,05 eura, što se u cijelosti odnosi na troškove nepohodne za provedbu izbora. </w:t>
      </w:r>
    </w:p>
    <w:p w:rsidR="00930799" w:rsidRDefault="00DF146C">
      <w:r>
        <w:t>S obzirom na smanjenje limita Državnog izbornog povjerenstva Republike Hrvatske za 2024. god</w:t>
      </w:r>
      <w:r>
        <w:t>inu na iznos od 27.617.000,00 eura, a što je bilo znatno manje od postavljenog zahtjeva, smanjene su određene pozicije u financijskom planu, a koje su se odnosile na aktivnost A896001 Provedba izbora. Iz tog razloga je u svibnju 2024., a radi pokrića trošk</w:t>
      </w:r>
      <w:r>
        <w:t xml:space="preserve">ova provedbe izbora, tražena i odobrena preraspodjela iz državnog proračuna. </w:t>
      </w:r>
    </w:p>
    <w:p w:rsidR="00930799" w:rsidRDefault="00DF146C">
      <w:r>
        <w:t>Izvršenje za 2024. skoro da i ne odstupa od planiranog proračuna na pojedinim pozicijama. Do manjeg odstupanja došlo je na poziciji ostalih usluga što se prvenstveno odnosi na tr</w:t>
      </w:r>
      <w:r>
        <w:t>ošak sljedećih usluga - tisak glasačkih listića i ostalog izbornog materijala (zapisnici, prijepisi zapisnika o radu biračkog odbora, glasačke kutije, glasačke pregrade). Prilikom planiranja u obzir je uzeto najavljeno znatno povećanje usluga tiska od stra</w:t>
      </w:r>
      <w:r>
        <w:t xml:space="preserve">ne državne tiskare, te su navedeni troškovi planirani po većoj cijeni u odnosu na stvarne konačne cijene koje su odobrene državnoj tiskari od strane Ministarstva gospodarstva i održivog razvoja.  </w:t>
      </w:r>
    </w:p>
    <w:p w:rsidR="00930799" w:rsidRDefault="00DF146C">
      <w:r>
        <w:t xml:space="preserve">Troškovi Izbora zastupnika koji su održani 16., 17. te 21. </w:t>
      </w:r>
      <w:r>
        <w:t>travnja 2024. iznosili su 15.745.415,90 eura odnosno približno 53 % od ukupnog iznosa izvršenja za aktivnost Provedbe izbora. Najveći dio troškova odnosi se na pomoći dane unutar općeg proračuna – županijskim proračunima za isplatu naknada za rad članovima</w:t>
      </w:r>
      <w:r>
        <w:t xml:space="preserve"> biračkih odbora, naknada za rad stalnom i proširenom sastavu izbornih povjerenstava izbornih jedinica, općinskih i gradskih izbornih povjerenstava, osobama angažiranim za rad u stručnim timovima izbornih povjerenstava, te za materijalne troškove provedbe </w:t>
      </w:r>
      <w:r>
        <w:t xml:space="preserve">izbora na biračkim mjestima u Republici Hrvatskoj u iznosu od 9.720.705,95 eura. </w:t>
      </w:r>
    </w:p>
    <w:p w:rsidR="00930799" w:rsidRDefault="00DF146C">
      <w:r>
        <w:t>Ostali troškovi provedbe izbora odnose se na naknadu troškova izborne promidžbe u iznosu od 2.720.495,44 eura, usluge promidžbe i informiranja za objavu zbirnih lista kandida</w:t>
      </w:r>
      <w:r>
        <w:t>ta u dnevnom tisku u iznosu od 311.768,07 eura, tisak glasačkih listića i ostalog izbornog materijala u iznosu od 783.617,76 eura, troškove informatičke podrške provedbi izbora u iznosu od 1.713.800,44 eura, na naknade za rad povjerenstvu Ministarstva vanj</w:t>
      </w:r>
      <w:r>
        <w:t>skih i europskih poslova, etičkom povjerenstvu, povjerenstvu XII. izborne jedinice, biračkim odborima u mirovnim misijama te ostale nespomenute rashode vezane uz provedbu izbora na biračkim mjestima u inozemstvu u iznosu od 131.893,57 eura, intelektualne u</w:t>
      </w:r>
      <w:r>
        <w:t xml:space="preserve">sluge (naknada za rad informatičkim koordinatorima i ostalim osobama angažiranim za rad na izborima od strane Državnog izbornog povjerenstva) u iznosu od 138.934,22 eura i na ostale nespomenute troškove u iznosu 224.200,45 eura.  </w:t>
      </w:r>
    </w:p>
    <w:p w:rsidR="00930799" w:rsidRDefault="00DF146C">
      <w:r>
        <w:t>Troškovi Europskih izbora</w:t>
      </w:r>
      <w:r>
        <w:t xml:space="preserve"> koji su održani 9. lipnja 2024 iznosili su 9.414.856,84 eura odnosno približno 32 % od ukupnog iznosa izvršenja za aktivnost Provedbe izbora. Najveći dio troškova odnosi se na pomoći dane unutar općeg proračuna – županijskim proračunima za isplatu naknada</w:t>
      </w:r>
      <w:r>
        <w:t xml:space="preserve"> za rad članovima biračkih odbora, naknada za rad </w:t>
      </w:r>
      <w:r>
        <w:lastRenderedPageBreak/>
        <w:t>članovima županijskih izbornih povjerenstava, općinskih i gradskih izbornih povjerenstava, osobama angažiranim za rad u stručnim timovima izbornih povjerenstava, te za materijalne troškove provedbe izbora n</w:t>
      </w:r>
      <w:r>
        <w:t xml:space="preserve">a biračkim mjestima u Republici Hrvatskoj u iznosu od 7.285.993,23 eura. </w:t>
      </w:r>
    </w:p>
    <w:p w:rsidR="00930799" w:rsidRDefault="00DF146C">
      <w:r>
        <w:t>Ostali troškovi provedbe izbora odnose se na naknadu troškova izborne promidžbe u iznosu od 143.617,00 eura, usluge promidžbe i informiranja za objavu zbirnih lista kandidata u dnevn</w:t>
      </w:r>
      <w:r>
        <w:t>om tisku u iznosu od 44.107,82 eura, tisak glasačkih listića i ostalog izbornog materijala u iznosu od 552.855,42 eura, troškove informatičke podrške provedbi izbora u iznosu od 1.144.597,00 eura, na naknade za rad povjerenstvu Ministarstva vanjskih i euro</w:t>
      </w:r>
      <w:r>
        <w:t>pskih poslova, etičkom povjerenstvu, biračkim odborima u mirovnim misijama u iznosu od 83.484,45 eura, intelektualne usluge (naknada za rad informatičkim koordinatorima i ostalim osobama angažiranim za rad na izborima od strane Državnog izbornog povjerenst</w:t>
      </w:r>
      <w:r>
        <w:t xml:space="preserve">va) u iznosu od 82.091,10 eura i na ostale nespomenute troškove u iznosu 78.110,82 eura.  </w:t>
      </w:r>
    </w:p>
    <w:p w:rsidR="00930799" w:rsidRDefault="00DF146C">
      <w:r>
        <w:t>Troškovi prvog kruga Predsjedničkih izbora koji je održan 29. prosinca 2024. iznosili su 4.412.174,48 eura odnosno približno 15 % od ukupnog iznosa izvršenja za akti</w:t>
      </w:r>
      <w:r>
        <w:t>vnost Provedbe izbora. Najveći dio troškova odnosi se na pomoći dane unutar općeg proračuna – županijskim proračunima za isplatu naknada za rad članovima biračkih odbora, naknada za rad članovima gradskih izbornih povjerenstava u sjedištima županija zaduže</w:t>
      </w:r>
      <w:r>
        <w:t>nih za organizaciju provedbe izbora na području pojedine županije, općinskih i gradskih izbornih povjerenstava, osobama angažiranim za rad u stručnim timovima izbornih povjerenstava, te za materijalne troškove provedbe izbora na biračkim mjestima u Republi</w:t>
      </w:r>
      <w:r>
        <w:t xml:space="preserve">ci Hrvatskoj u iznosu od 3.906.100,00 eura. </w:t>
      </w:r>
    </w:p>
    <w:p w:rsidR="00930799" w:rsidRDefault="00DF146C">
      <w:r>
        <w:t xml:space="preserve">Ostali troškovi provedbe izbora odnose se na usluge promidžbe i informiranja za objavu zbirnih lista kandidata u dnevnom tisku u iznosu od 11.516,15 eura, tisak glasačkih listića i ostalog izbornog materijala u </w:t>
      </w:r>
      <w:r>
        <w:t xml:space="preserve">iznosu od 401.547,77 eura, na naknade za rad biračkim odborima u mirovnim misijama u iznosu od 34.700,00 eura, ostale nespomenute rashode vezane uz provedbu izbora na biračkim mjestima u inozemstvu 25.728,29 eura te na ostale nespomenute troškove u iznosu </w:t>
      </w:r>
      <w:r>
        <w:t xml:space="preserve">od 32.582,27 eura. </w:t>
      </w:r>
    </w:p>
    <w:p w:rsidR="00930799" w:rsidRDefault="00DF146C">
      <w:r>
        <w:t xml:space="preserve">Ostali troškovi vezani za provedbu prvog kruga Predsjedničkih izbora (trošak informatičke podrške provedbi izbora, intelektualne usluge i sl.) teretit će proračun Državnog izbornog povjerenstva Republike Hrvatske 2025.  </w:t>
      </w:r>
    </w:p>
    <w:p w:rsidR="00930799" w:rsidRDefault="00DF146C">
      <w:r>
        <w:t>Troškovi održan</w:t>
      </w:r>
      <w:r>
        <w:t>ih prijevremenih lokalnih izbora tijekom 2024. iznosili su 42.786,79 eura, a u cijelosti su se odnosili na troškove informatičke podrške provedbi izbora.</w:t>
      </w:r>
    </w:p>
    <w:p w:rsidR="00930799" w:rsidRDefault="00DF146C">
      <w:pPr>
        <w:pStyle w:val="Heading8"/>
        <w:jc w:val="left"/>
      </w:pPr>
      <w:r>
        <w:t>Pokazatelji rezultata</w:t>
      </w:r>
    </w:p>
    <w:tbl>
      <w:tblPr>
        <w:tblStyle w:val="StilTablice"/>
        <w:tblW w:w="10206" w:type="dxa"/>
        <w:jc w:val="center"/>
        <w:tblLook w:val="04A0" w:firstRow="1" w:lastRow="0" w:firstColumn="1" w:lastColumn="0" w:noHBand="0" w:noVBand="1"/>
      </w:tblPr>
      <w:tblGrid>
        <w:gridCol w:w="2256"/>
        <w:gridCol w:w="2100"/>
        <w:gridCol w:w="1770"/>
        <w:gridCol w:w="980"/>
        <w:gridCol w:w="1136"/>
        <w:gridCol w:w="980"/>
        <w:gridCol w:w="984"/>
      </w:tblGrid>
      <w:tr w:rsidR="00930799">
        <w:trPr>
          <w:jc w:val="center"/>
        </w:trPr>
        <w:tc>
          <w:tcPr>
            <w:tcW w:w="2551" w:type="dxa"/>
            <w:shd w:val="clear" w:color="auto" w:fill="B5C0D8"/>
          </w:tcPr>
          <w:p w:rsidR="00930799" w:rsidRDefault="00DF146C">
            <w:pPr>
              <w:jc w:val="center"/>
            </w:pPr>
            <w:r>
              <w:t>Pokazatelj rezultata</w:t>
            </w:r>
          </w:p>
        </w:tc>
        <w:tc>
          <w:tcPr>
            <w:tcW w:w="2551" w:type="dxa"/>
            <w:shd w:val="clear" w:color="auto" w:fill="B5C0D8"/>
          </w:tcPr>
          <w:p w:rsidR="00930799" w:rsidRDefault="00DF146C">
            <w:pPr>
              <w:pStyle w:val="CellHeader"/>
              <w:jc w:val="center"/>
            </w:pPr>
            <w:r>
              <w:rPr>
                <w:rFonts w:cs="Times New Roman"/>
              </w:rPr>
              <w:t>Definicija</w:t>
            </w:r>
          </w:p>
        </w:tc>
        <w:tc>
          <w:tcPr>
            <w:tcW w:w="1020" w:type="dxa"/>
            <w:shd w:val="clear" w:color="auto" w:fill="B5C0D8"/>
          </w:tcPr>
          <w:p w:rsidR="00930799" w:rsidRDefault="00DF146C">
            <w:pPr>
              <w:pStyle w:val="CellHeader"/>
              <w:jc w:val="center"/>
            </w:pPr>
            <w:r>
              <w:rPr>
                <w:rFonts w:cs="Times New Roman"/>
              </w:rPr>
              <w:t>Jedinica</w:t>
            </w:r>
          </w:p>
        </w:tc>
        <w:tc>
          <w:tcPr>
            <w:tcW w:w="1020" w:type="dxa"/>
            <w:shd w:val="clear" w:color="auto" w:fill="B5C0D8"/>
          </w:tcPr>
          <w:p w:rsidR="00930799" w:rsidRDefault="00DF146C">
            <w:pPr>
              <w:pStyle w:val="CellHeader"/>
              <w:jc w:val="center"/>
            </w:pPr>
            <w:r>
              <w:rPr>
                <w:rFonts w:cs="Times New Roman"/>
              </w:rPr>
              <w:t>Polazna vrijednost</w:t>
            </w:r>
          </w:p>
        </w:tc>
        <w:tc>
          <w:tcPr>
            <w:tcW w:w="1020" w:type="dxa"/>
            <w:shd w:val="clear" w:color="auto" w:fill="B5C0D8"/>
          </w:tcPr>
          <w:p w:rsidR="00930799" w:rsidRDefault="00DF146C">
            <w:pPr>
              <w:pStyle w:val="CellHeader"/>
              <w:jc w:val="center"/>
            </w:pPr>
            <w:r>
              <w:rPr>
                <w:rFonts w:cs="Times New Roman"/>
              </w:rPr>
              <w:t>Izvor podataka</w:t>
            </w:r>
          </w:p>
        </w:tc>
        <w:tc>
          <w:tcPr>
            <w:tcW w:w="1020" w:type="dxa"/>
            <w:shd w:val="clear" w:color="auto" w:fill="B5C0D8"/>
          </w:tcPr>
          <w:p w:rsidR="00930799" w:rsidRDefault="00DF146C">
            <w:pPr>
              <w:pStyle w:val="CellHeader"/>
              <w:jc w:val="center"/>
            </w:pPr>
            <w:r>
              <w:rPr>
                <w:rFonts w:cs="Times New Roman"/>
              </w:rPr>
              <w:t>Ciljana vrijednost (2024.)</w:t>
            </w:r>
          </w:p>
        </w:tc>
        <w:tc>
          <w:tcPr>
            <w:tcW w:w="1020" w:type="dxa"/>
            <w:shd w:val="clear" w:color="auto" w:fill="B5C0D8"/>
          </w:tcPr>
          <w:p w:rsidR="00930799" w:rsidRDefault="00DF146C">
            <w:pPr>
              <w:pStyle w:val="CellHeader"/>
              <w:jc w:val="center"/>
            </w:pPr>
            <w:r>
              <w:rPr>
                <w:rFonts w:cs="Times New Roman"/>
              </w:rPr>
              <w:t>Ostvarena vrijednost (2024.)</w:t>
            </w:r>
          </w:p>
        </w:tc>
      </w:tr>
      <w:tr w:rsidR="00930799">
        <w:trPr>
          <w:jc w:val="center"/>
        </w:trPr>
        <w:tc>
          <w:tcPr>
            <w:tcW w:w="2551" w:type="dxa"/>
          </w:tcPr>
          <w:p w:rsidR="00930799" w:rsidRDefault="00DF146C">
            <w:pPr>
              <w:pStyle w:val="CellColumn"/>
              <w:jc w:val="left"/>
            </w:pPr>
            <w:r>
              <w:rPr>
                <w:rFonts w:cs="Times New Roman"/>
              </w:rPr>
              <w:t>Broj provedenih edukacija članova nadležnih izbornih povjerenstava</w:t>
            </w:r>
          </w:p>
        </w:tc>
        <w:tc>
          <w:tcPr>
            <w:tcW w:w="2551" w:type="dxa"/>
          </w:tcPr>
          <w:p w:rsidR="00930799" w:rsidRDefault="00DF146C">
            <w:pPr>
              <w:pStyle w:val="CellColumn"/>
              <w:jc w:val="left"/>
            </w:pPr>
            <w:r>
              <w:rPr>
                <w:rFonts w:cs="Times New Roman"/>
              </w:rPr>
              <w:t>Edukacija članova nadležnih izbornih povjerenstava će doprinijeti razvoju njihovih profesionalnih kompetencija</w:t>
            </w:r>
          </w:p>
        </w:tc>
        <w:tc>
          <w:tcPr>
            <w:tcW w:w="1020" w:type="dxa"/>
          </w:tcPr>
          <w:p w:rsidR="00930799" w:rsidRDefault="00DF146C">
            <w:pPr>
              <w:pStyle w:val="CellColumn"/>
              <w:jc w:val="right"/>
            </w:pPr>
            <w:r>
              <w:rPr>
                <w:rFonts w:cs="Times New Roman"/>
              </w:rPr>
              <w:t>Broj održanih edukaci</w:t>
            </w:r>
            <w:r>
              <w:rPr>
                <w:rFonts w:cs="Times New Roman"/>
              </w:rPr>
              <w:t>ja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prethodnu godinu</w:t>
            </w:r>
          </w:p>
        </w:tc>
        <w:tc>
          <w:tcPr>
            <w:tcW w:w="1020" w:type="dxa"/>
          </w:tcPr>
          <w:p w:rsidR="00930799" w:rsidRDefault="00DF146C">
            <w:pPr>
              <w:pStyle w:val="CellColumn"/>
              <w:jc w:val="right"/>
            </w:pPr>
            <w:r>
              <w:rPr>
                <w:rFonts w:cs="Times New Roman"/>
              </w:rPr>
              <w:t>50</w:t>
            </w:r>
          </w:p>
        </w:tc>
        <w:tc>
          <w:tcPr>
            <w:tcW w:w="1020" w:type="dxa"/>
          </w:tcPr>
          <w:p w:rsidR="00930799" w:rsidRDefault="00DF146C">
            <w:pPr>
              <w:pStyle w:val="CellColumn"/>
              <w:jc w:val="right"/>
            </w:pPr>
            <w:r>
              <w:rPr>
                <w:rFonts w:cs="Times New Roman"/>
              </w:rPr>
              <w:t>1</w:t>
            </w:r>
          </w:p>
        </w:tc>
      </w:tr>
      <w:tr w:rsidR="00930799">
        <w:trPr>
          <w:jc w:val="center"/>
        </w:trPr>
        <w:tc>
          <w:tcPr>
            <w:tcW w:w="2551" w:type="dxa"/>
          </w:tcPr>
          <w:p w:rsidR="00930799" w:rsidRDefault="00DF146C">
            <w:pPr>
              <w:pStyle w:val="CellColumn"/>
              <w:jc w:val="left"/>
            </w:pPr>
            <w:r>
              <w:rPr>
                <w:rFonts w:cs="Times New Roman"/>
              </w:rPr>
              <w:t>Broj održanih/objavljenih webinara za djelatnike diplomatsko-konzularnih predstavništava Republike Hrvatske</w:t>
            </w:r>
          </w:p>
        </w:tc>
        <w:tc>
          <w:tcPr>
            <w:tcW w:w="2551" w:type="dxa"/>
          </w:tcPr>
          <w:p w:rsidR="00930799" w:rsidRDefault="00DF146C">
            <w:pPr>
              <w:pStyle w:val="CellColumn"/>
              <w:jc w:val="left"/>
            </w:pPr>
            <w:r>
              <w:rPr>
                <w:rFonts w:cs="Times New Roman"/>
              </w:rPr>
              <w:t>Sadržaj prezentiran na webinarima će doprinijeti razvoju profesionalnih kompetencija djelatnika diplomatsko-konzularnih predstavništava Republike Hrvatske vezano uz provedbu izbora na državnoj razini</w:t>
            </w:r>
          </w:p>
        </w:tc>
        <w:tc>
          <w:tcPr>
            <w:tcW w:w="1020" w:type="dxa"/>
          </w:tcPr>
          <w:p w:rsidR="00930799" w:rsidRDefault="00DF146C">
            <w:pPr>
              <w:pStyle w:val="CellColumn"/>
              <w:jc w:val="right"/>
            </w:pPr>
            <w:r>
              <w:rPr>
                <w:rFonts w:cs="Times New Roman"/>
              </w:rPr>
              <w:t>Broj održanih/objavljenih webinara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w:t>
            </w:r>
            <w:r>
              <w:rPr>
                <w:rFonts w:cs="Times New Roman"/>
              </w:rPr>
              <w:t xml:space="preserv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2</w:t>
            </w:r>
          </w:p>
        </w:tc>
      </w:tr>
      <w:tr w:rsidR="00930799">
        <w:trPr>
          <w:jc w:val="center"/>
        </w:trPr>
        <w:tc>
          <w:tcPr>
            <w:tcW w:w="2551" w:type="dxa"/>
          </w:tcPr>
          <w:p w:rsidR="00930799" w:rsidRDefault="00DF146C">
            <w:pPr>
              <w:pStyle w:val="CellColumn"/>
              <w:jc w:val="left"/>
            </w:pPr>
            <w:r>
              <w:rPr>
                <w:rFonts w:cs="Times New Roman"/>
              </w:rPr>
              <w:lastRenderedPageBreak/>
              <w:t>Broj održanih/objavljenih webinara za članove biračkih odbora</w:t>
            </w:r>
          </w:p>
        </w:tc>
        <w:tc>
          <w:tcPr>
            <w:tcW w:w="2551" w:type="dxa"/>
          </w:tcPr>
          <w:p w:rsidR="00930799" w:rsidRDefault="00DF146C">
            <w:pPr>
              <w:pStyle w:val="CellColumn"/>
              <w:jc w:val="left"/>
            </w:pPr>
            <w:r>
              <w:rPr>
                <w:rFonts w:cs="Times New Roman"/>
              </w:rPr>
              <w:t>Sadržaj prezentiran webinarima će doprinijeti razvoju profesionalnih kompetencija članova biračkih odbora</w:t>
            </w:r>
          </w:p>
        </w:tc>
        <w:tc>
          <w:tcPr>
            <w:tcW w:w="1020" w:type="dxa"/>
          </w:tcPr>
          <w:p w:rsidR="00930799" w:rsidRDefault="00DF146C">
            <w:pPr>
              <w:pStyle w:val="CellColumn"/>
              <w:jc w:val="right"/>
            </w:pPr>
            <w:r>
              <w:rPr>
                <w:rFonts w:cs="Times New Roman"/>
              </w:rPr>
              <w:t>Broj održanih/objavl</w:t>
            </w:r>
            <w:r>
              <w:rPr>
                <w:rFonts w:cs="Times New Roman"/>
              </w:rPr>
              <w:t>jenih webinara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6</w:t>
            </w:r>
          </w:p>
        </w:tc>
        <w:tc>
          <w:tcPr>
            <w:tcW w:w="1020" w:type="dxa"/>
          </w:tcPr>
          <w:p w:rsidR="00930799" w:rsidRDefault="00DF146C">
            <w:pPr>
              <w:pStyle w:val="CellColumn"/>
              <w:jc w:val="right"/>
            </w:pPr>
            <w:r>
              <w:rPr>
                <w:rFonts w:cs="Times New Roman"/>
              </w:rPr>
              <w:t>86</w:t>
            </w:r>
          </w:p>
        </w:tc>
      </w:tr>
      <w:tr w:rsidR="00930799">
        <w:trPr>
          <w:jc w:val="center"/>
        </w:trPr>
        <w:tc>
          <w:tcPr>
            <w:tcW w:w="2551" w:type="dxa"/>
          </w:tcPr>
          <w:p w:rsidR="00930799" w:rsidRDefault="00DF146C">
            <w:pPr>
              <w:pStyle w:val="CellColumn"/>
              <w:jc w:val="left"/>
            </w:pPr>
            <w:r>
              <w:rPr>
                <w:rFonts w:cs="Times New Roman"/>
              </w:rPr>
              <w:t>Broj izrađenih podsjetnika za rad biračkih odbora</w:t>
            </w:r>
          </w:p>
        </w:tc>
        <w:tc>
          <w:tcPr>
            <w:tcW w:w="2551" w:type="dxa"/>
          </w:tcPr>
          <w:p w:rsidR="00930799" w:rsidRDefault="00DF146C">
            <w:pPr>
              <w:pStyle w:val="CellColumn"/>
              <w:jc w:val="left"/>
            </w:pPr>
            <w:r>
              <w:rPr>
                <w:rFonts w:cs="Times New Roman"/>
              </w:rPr>
              <w:t>Podsjetnici za rad biračkih odbora će doprinijeti razvoju profesionalnih kompetencija članova birački</w:t>
            </w:r>
            <w:r>
              <w:rPr>
                <w:rFonts w:cs="Times New Roman"/>
              </w:rPr>
              <w:t>h odbora</w:t>
            </w:r>
          </w:p>
        </w:tc>
        <w:tc>
          <w:tcPr>
            <w:tcW w:w="1020" w:type="dxa"/>
          </w:tcPr>
          <w:p w:rsidR="00930799" w:rsidRDefault="00DF146C">
            <w:pPr>
              <w:pStyle w:val="CellColumn"/>
              <w:jc w:val="right"/>
            </w:pPr>
            <w:r>
              <w:rPr>
                <w:rFonts w:cs="Times New Roman"/>
              </w:rPr>
              <w:t>Broj izrađenih i objavljenih Podsjetnika za rad biračkih odbora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6</w:t>
            </w:r>
          </w:p>
        </w:tc>
        <w:tc>
          <w:tcPr>
            <w:tcW w:w="1020" w:type="dxa"/>
          </w:tcPr>
          <w:p w:rsidR="00930799" w:rsidRDefault="00DF146C">
            <w:pPr>
              <w:pStyle w:val="CellColumn"/>
              <w:jc w:val="right"/>
            </w:pPr>
            <w:r>
              <w:rPr>
                <w:rFonts w:cs="Times New Roman"/>
              </w:rPr>
              <w:t>7</w:t>
            </w:r>
          </w:p>
        </w:tc>
      </w:tr>
      <w:tr w:rsidR="00930799">
        <w:trPr>
          <w:jc w:val="center"/>
        </w:trPr>
        <w:tc>
          <w:tcPr>
            <w:tcW w:w="2551" w:type="dxa"/>
          </w:tcPr>
          <w:p w:rsidR="00930799" w:rsidRDefault="00DF146C">
            <w:pPr>
              <w:pStyle w:val="CellColumn"/>
              <w:jc w:val="left"/>
            </w:pPr>
            <w:r>
              <w:rPr>
                <w:rFonts w:cs="Times New Roman"/>
              </w:rPr>
              <w:t>Broj obavljenih najčešćih pitanja i odgovora na mrežnim stranicama Državnog izbornog povjerenstva</w:t>
            </w:r>
          </w:p>
        </w:tc>
        <w:tc>
          <w:tcPr>
            <w:tcW w:w="2551" w:type="dxa"/>
          </w:tcPr>
          <w:p w:rsidR="00930799" w:rsidRDefault="00DF146C">
            <w:pPr>
              <w:pStyle w:val="CellColumn"/>
              <w:jc w:val="left"/>
            </w:pPr>
            <w:r>
              <w:rPr>
                <w:rFonts w:cs="Times New Roman"/>
              </w:rPr>
              <w:t>Objavljena najčešća pitanja i odgovori na  pitanja pozitivno će utjecati na ostvarenje aktivnog i pasivnog biračkog prava te sudjelovanje u izborima pojedinih</w:t>
            </w:r>
            <w:r>
              <w:rPr>
                <w:rFonts w:cs="Times New Roman"/>
              </w:rPr>
              <w:t xml:space="preserve"> kategorija subjekata</w:t>
            </w:r>
          </w:p>
        </w:tc>
        <w:tc>
          <w:tcPr>
            <w:tcW w:w="1020" w:type="dxa"/>
          </w:tcPr>
          <w:p w:rsidR="00930799" w:rsidRDefault="00DF146C">
            <w:pPr>
              <w:pStyle w:val="CellColumn"/>
              <w:jc w:val="right"/>
            </w:pPr>
            <w:r>
              <w:rPr>
                <w:rFonts w:cs="Times New Roman"/>
              </w:rPr>
              <w:t>Broj objavljenih najčešćih pitanja i odgovora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180</w:t>
            </w:r>
          </w:p>
        </w:tc>
        <w:tc>
          <w:tcPr>
            <w:tcW w:w="1020" w:type="dxa"/>
          </w:tcPr>
          <w:p w:rsidR="00930799" w:rsidRDefault="00DF146C">
            <w:pPr>
              <w:pStyle w:val="CellColumn"/>
              <w:jc w:val="right"/>
            </w:pPr>
            <w:r>
              <w:rPr>
                <w:rFonts w:cs="Times New Roman"/>
              </w:rPr>
              <w:t>120</w:t>
            </w:r>
          </w:p>
        </w:tc>
      </w:tr>
      <w:tr w:rsidR="00930799">
        <w:trPr>
          <w:jc w:val="center"/>
        </w:trPr>
        <w:tc>
          <w:tcPr>
            <w:tcW w:w="2551" w:type="dxa"/>
          </w:tcPr>
          <w:p w:rsidR="00930799" w:rsidRDefault="00DF146C">
            <w:pPr>
              <w:pStyle w:val="CellColumn"/>
              <w:jc w:val="left"/>
            </w:pPr>
            <w:r>
              <w:rPr>
                <w:rFonts w:cs="Times New Roman"/>
              </w:rPr>
              <w:t>Broj održanih edukacija mladih birača</w:t>
            </w:r>
          </w:p>
        </w:tc>
        <w:tc>
          <w:tcPr>
            <w:tcW w:w="2551" w:type="dxa"/>
          </w:tcPr>
          <w:p w:rsidR="00930799" w:rsidRDefault="00DF146C">
            <w:pPr>
              <w:pStyle w:val="CellColumn"/>
              <w:jc w:val="left"/>
            </w:pPr>
            <w:r>
              <w:rPr>
                <w:rFonts w:cs="Times New Roman"/>
              </w:rPr>
              <w:t>Edukacije će mladim biračima dati osnovne informacije o iz</w:t>
            </w:r>
            <w:r>
              <w:rPr>
                <w:rFonts w:cs="Times New Roman"/>
              </w:rPr>
              <w:t>bornim sustavima i doprinijeti osvještavanju mladih birača o važnosti glasovanja na izborima</w:t>
            </w:r>
          </w:p>
        </w:tc>
        <w:tc>
          <w:tcPr>
            <w:tcW w:w="1020" w:type="dxa"/>
          </w:tcPr>
          <w:p w:rsidR="00930799" w:rsidRDefault="00DF146C">
            <w:pPr>
              <w:pStyle w:val="CellColumn"/>
              <w:jc w:val="right"/>
            </w:pPr>
            <w:r>
              <w:rPr>
                <w:rFonts w:cs="Times New Roman"/>
              </w:rPr>
              <w:t>Broj održanih edukacija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Izvješće o provedenim edukacijama</w:t>
            </w:r>
          </w:p>
        </w:tc>
        <w:tc>
          <w:tcPr>
            <w:tcW w:w="1020" w:type="dxa"/>
          </w:tcPr>
          <w:p w:rsidR="00930799" w:rsidRDefault="00DF146C">
            <w:pPr>
              <w:pStyle w:val="CellColumn"/>
              <w:jc w:val="right"/>
            </w:pPr>
            <w:r>
              <w:rPr>
                <w:rFonts w:cs="Times New Roman"/>
              </w:rPr>
              <w:t>50</w:t>
            </w:r>
          </w:p>
        </w:tc>
        <w:tc>
          <w:tcPr>
            <w:tcW w:w="1020" w:type="dxa"/>
          </w:tcPr>
          <w:p w:rsidR="00930799" w:rsidRDefault="00DF146C">
            <w:pPr>
              <w:pStyle w:val="CellColumn"/>
              <w:jc w:val="right"/>
            </w:pPr>
            <w:r>
              <w:rPr>
                <w:rFonts w:cs="Times New Roman"/>
              </w:rPr>
              <w:t>59</w:t>
            </w:r>
          </w:p>
        </w:tc>
      </w:tr>
      <w:tr w:rsidR="00930799">
        <w:trPr>
          <w:jc w:val="center"/>
        </w:trPr>
        <w:tc>
          <w:tcPr>
            <w:tcW w:w="2551" w:type="dxa"/>
          </w:tcPr>
          <w:p w:rsidR="00930799" w:rsidRDefault="00DF146C">
            <w:pPr>
              <w:pStyle w:val="CellColumn"/>
              <w:jc w:val="left"/>
            </w:pPr>
            <w:r>
              <w:rPr>
                <w:rFonts w:cs="Times New Roman"/>
              </w:rPr>
              <w:t>Broj održanih/objavljenih webinara za mlade birače</w:t>
            </w:r>
          </w:p>
        </w:tc>
        <w:tc>
          <w:tcPr>
            <w:tcW w:w="2551" w:type="dxa"/>
          </w:tcPr>
          <w:p w:rsidR="00930799" w:rsidRDefault="00DF146C">
            <w:pPr>
              <w:pStyle w:val="CellColumn"/>
              <w:jc w:val="left"/>
            </w:pPr>
            <w:r>
              <w:rPr>
                <w:rFonts w:cs="Times New Roman"/>
              </w:rPr>
              <w:t>Sadržaj prezentiran na webinarima će mladim biračima dati osnovne informacije o izbornim sustavima i doprinijeti osvještavanju mladih birača o važnosti glasovanja na izborima</w:t>
            </w:r>
          </w:p>
        </w:tc>
        <w:tc>
          <w:tcPr>
            <w:tcW w:w="1020" w:type="dxa"/>
          </w:tcPr>
          <w:p w:rsidR="00930799" w:rsidRDefault="00DF146C">
            <w:pPr>
              <w:pStyle w:val="CellColumn"/>
              <w:jc w:val="right"/>
            </w:pPr>
            <w:r>
              <w:rPr>
                <w:rFonts w:cs="Times New Roman"/>
              </w:rPr>
              <w:t>Broj održanih/objavljenih webinara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w:t>
            </w:r>
            <w:r>
              <w:rPr>
                <w:rFonts w:cs="Times New Roman"/>
              </w:rPr>
              <w:t>anice Državnog izbornog povjerenstva</w:t>
            </w:r>
          </w:p>
        </w:tc>
        <w:tc>
          <w:tcPr>
            <w:tcW w:w="1020" w:type="dxa"/>
          </w:tcPr>
          <w:p w:rsidR="00930799" w:rsidRDefault="00DF146C">
            <w:pPr>
              <w:pStyle w:val="CellColumn"/>
              <w:jc w:val="right"/>
            </w:pPr>
            <w:r>
              <w:rPr>
                <w:rFonts w:cs="Times New Roman"/>
              </w:rPr>
              <w:t>1</w:t>
            </w:r>
          </w:p>
        </w:tc>
        <w:tc>
          <w:tcPr>
            <w:tcW w:w="1020" w:type="dxa"/>
          </w:tcPr>
          <w:p w:rsidR="00930799" w:rsidRDefault="00DF146C">
            <w:pPr>
              <w:pStyle w:val="CellColumn"/>
              <w:jc w:val="right"/>
            </w:pPr>
            <w:r>
              <w:rPr>
                <w:rFonts w:cs="Times New Roman"/>
              </w:rPr>
              <w:t>1</w:t>
            </w:r>
          </w:p>
        </w:tc>
      </w:tr>
      <w:tr w:rsidR="00930799">
        <w:trPr>
          <w:jc w:val="center"/>
        </w:trPr>
        <w:tc>
          <w:tcPr>
            <w:tcW w:w="2551" w:type="dxa"/>
          </w:tcPr>
          <w:p w:rsidR="00930799" w:rsidRDefault="00DF146C">
            <w:pPr>
              <w:pStyle w:val="CellColumn"/>
              <w:jc w:val="left"/>
            </w:pPr>
            <w:r>
              <w:rPr>
                <w:rFonts w:cs="Times New Roman"/>
              </w:rPr>
              <w:t>Broj razvijenih i objavljenih on-line edukacija namijenjenih izbornim sudionicima vezano uz financiranje izborne promidžbe</w:t>
            </w:r>
          </w:p>
        </w:tc>
        <w:tc>
          <w:tcPr>
            <w:tcW w:w="2551" w:type="dxa"/>
          </w:tcPr>
          <w:p w:rsidR="00930799" w:rsidRDefault="00DF146C">
            <w:pPr>
              <w:pStyle w:val="CellColumn"/>
              <w:jc w:val="left"/>
            </w:pPr>
            <w:r>
              <w:rPr>
                <w:rFonts w:cs="Times New Roman"/>
              </w:rPr>
              <w:t>On-line edukacije će izborne sudionike podučiti o relevantnim aspektima vezano uz financirn</w:t>
            </w:r>
            <w:r>
              <w:rPr>
                <w:rFonts w:cs="Times New Roman"/>
              </w:rPr>
              <w:t>je izborne promidžbe te u konačnici dovesti do smanjenja broja povreda zakona</w:t>
            </w:r>
          </w:p>
        </w:tc>
        <w:tc>
          <w:tcPr>
            <w:tcW w:w="1020" w:type="dxa"/>
          </w:tcPr>
          <w:p w:rsidR="00930799" w:rsidRDefault="00DF146C">
            <w:pPr>
              <w:pStyle w:val="CellColumn"/>
              <w:jc w:val="right"/>
            </w:pPr>
            <w:r>
              <w:rPr>
                <w:rFonts w:cs="Times New Roman"/>
              </w:rPr>
              <w:t>Broj razvijenih i objavljenih on-line edukacija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2</w:t>
            </w:r>
          </w:p>
        </w:tc>
      </w:tr>
      <w:tr w:rsidR="00930799">
        <w:trPr>
          <w:jc w:val="center"/>
        </w:trPr>
        <w:tc>
          <w:tcPr>
            <w:tcW w:w="2551" w:type="dxa"/>
          </w:tcPr>
          <w:p w:rsidR="00930799" w:rsidRDefault="00DF146C">
            <w:pPr>
              <w:pStyle w:val="CellColumn"/>
              <w:jc w:val="left"/>
            </w:pPr>
            <w:r>
              <w:rPr>
                <w:rFonts w:cs="Times New Roman"/>
              </w:rPr>
              <w:t>Broj provedenih edukacija namijenjenih izb</w:t>
            </w:r>
            <w:r>
              <w:rPr>
                <w:rFonts w:cs="Times New Roman"/>
              </w:rPr>
              <w:t>ornim sudionicima vezano uz financiranje izborne promidžbe</w:t>
            </w:r>
          </w:p>
        </w:tc>
        <w:tc>
          <w:tcPr>
            <w:tcW w:w="2551" w:type="dxa"/>
          </w:tcPr>
          <w:p w:rsidR="00930799" w:rsidRDefault="00DF146C">
            <w:pPr>
              <w:pStyle w:val="CellColumn"/>
              <w:jc w:val="left"/>
            </w:pPr>
            <w:r>
              <w:rPr>
                <w:rFonts w:cs="Times New Roman"/>
              </w:rPr>
              <w:t>Edukacije će izborne sudionike podučiti o relevantnim aspektima vezano uz financiranje izborne promidžbe te u konačnici dovesti do smanjenja broja povreda zakona</w:t>
            </w:r>
          </w:p>
        </w:tc>
        <w:tc>
          <w:tcPr>
            <w:tcW w:w="1020" w:type="dxa"/>
          </w:tcPr>
          <w:p w:rsidR="00930799" w:rsidRDefault="00DF146C">
            <w:pPr>
              <w:pStyle w:val="CellColumn"/>
              <w:jc w:val="right"/>
            </w:pPr>
            <w:r>
              <w:rPr>
                <w:rFonts w:cs="Times New Roman"/>
              </w:rPr>
              <w:t>Broj provedenihih edukacija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Pregled rada za prethodnu godinu</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1</w:t>
            </w:r>
          </w:p>
        </w:tc>
      </w:tr>
      <w:tr w:rsidR="00930799">
        <w:trPr>
          <w:jc w:val="center"/>
        </w:trPr>
        <w:tc>
          <w:tcPr>
            <w:tcW w:w="2551" w:type="dxa"/>
          </w:tcPr>
          <w:p w:rsidR="00930799" w:rsidRDefault="00DF146C">
            <w:pPr>
              <w:pStyle w:val="CellColumn"/>
              <w:jc w:val="left"/>
            </w:pPr>
            <w:r>
              <w:rPr>
                <w:rFonts w:cs="Times New Roman"/>
              </w:rPr>
              <w:t>Broj održanih/objavljenih webinara namijenjenih izbornim sudionicima</w:t>
            </w:r>
          </w:p>
        </w:tc>
        <w:tc>
          <w:tcPr>
            <w:tcW w:w="2551" w:type="dxa"/>
          </w:tcPr>
          <w:p w:rsidR="00930799" w:rsidRDefault="00DF146C">
            <w:pPr>
              <w:pStyle w:val="CellColumn"/>
              <w:jc w:val="left"/>
            </w:pPr>
            <w:r>
              <w:rPr>
                <w:rFonts w:cs="Times New Roman"/>
              </w:rPr>
              <w:t>Sadržaj prezentiran na webinarima će izborne sudionike podučiti o relevantnim aspektima vezano uz financiranje izborne promidžbe te u konačnici doves</w:t>
            </w:r>
            <w:r>
              <w:rPr>
                <w:rFonts w:cs="Times New Roman"/>
              </w:rPr>
              <w:t>ti do smanjenja broja povreda zakona</w:t>
            </w:r>
          </w:p>
        </w:tc>
        <w:tc>
          <w:tcPr>
            <w:tcW w:w="1020" w:type="dxa"/>
          </w:tcPr>
          <w:p w:rsidR="00930799" w:rsidRDefault="00DF146C">
            <w:pPr>
              <w:pStyle w:val="CellColumn"/>
              <w:jc w:val="right"/>
            </w:pPr>
            <w:r>
              <w:rPr>
                <w:rFonts w:cs="Times New Roman"/>
              </w:rPr>
              <w:t>Broj održanih/objavljenih webinara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 xml:space="preserve">Pregled rada za prethodnu godinu </w:t>
            </w:r>
          </w:p>
          <w:p w:rsidR="00930799" w:rsidRDefault="00DF146C">
            <w:pPr>
              <w:pStyle w:val="CellColumn"/>
              <w:jc w:val="right"/>
            </w:pPr>
            <w:r>
              <w:rPr>
                <w:rFonts w:cs="Times New Roman"/>
              </w:rPr>
              <w:t>Mrežne stranice Državnog izbornog povjerenstva</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10</w:t>
            </w:r>
          </w:p>
        </w:tc>
      </w:tr>
      <w:tr w:rsidR="00930799">
        <w:trPr>
          <w:jc w:val="center"/>
        </w:trPr>
        <w:tc>
          <w:tcPr>
            <w:tcW w:w="2551" w:type="dxa"/>
          </w:tcPr>
          <w:p w:rsidR="00930799" w:rsidRDefault="00DF146C">
            <w:pPr>
              <w:pStyle w:val="CellColumn"/>
              <w:jc w:val="left"/>
            </w:pPr>
            <w:r>
              <w:rPr>
                <w:rFonts w:cs="Times New Roman"/>
              </w:rPr>
              <w:t>Broj zaključenih ugovora jedinstvene informatičke podrške redovnim izborima</w:t>
            </w:r>
          </w:p>
        </w:tc>
        <w:tc>
          <w:tcPr>
            <w:tcW w:w="2551" w:type="dxa"/>
          </w:tcPr>
          <w:p w:rsidR="00930799" w:rsidRDefault="00DF146C">
            <w:pPr>
              <w:pStyle w:val="CellColumn"/>
              <w:jc w:val="left"/>
            </w:pPr>
            <w:r>
              <w:rPr>
                <w:rFonts w:cs="Times New Roman"/>
              </w:rPr>
              <w:t>Jedinstvena informa</w:t>
            </w:r>
            <w:r>
              <w:rPr>
                <w:rFonts w:cs="Times New Roman"/>
              </w:rPr>
              <w:t>tička podrška implementira se u svrhu efikasne i transparentne provedbe izbora</w:t>
            </w:r>
          </w:p>
        </w:tc>
        <w:tc>
          <w:tcPr>
            <w:tcW w:w="1020" w:type="dxa"/>
          </w:tcPr>
          <w:p w:rsidR="00930799" w:rsidRDefault="00DF146C">
            <w:pPr>
              <w:pStyle w:val="CellColumn"/>
              <w:jc w:val="right"/>
            </w:pPr>
            <w:r>
              <w:rPr>
                <w:rFonts w:cs="Times New Roman"/>
              </w:rPr>
              <w:t>Broj zaključenih ugovora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Zaključeni ugovor</w:t>
            </w:r>
          </w:p>
        </w:tc>
        <w:tc>
          <w:tcPr>
            <w:tcW w:w="1020" w:type="dxa"/>
          </w:tcPr>
          <w:p w:rsidR="00930799" w:rsidRDefault="00DF146C">
            <w:pPr>
              <w:pStyle w:val="CellColumn"/>
              <w:jc w:val="right"/>
            </w:pPr>
            <w:r>
              <w:rPr>
                <w:rFonts w:cs="Times New Roman"/>
              </w:rPr>
              <w:t>3</w:t>
            </w:r>
          </w:p>
        </w:tc>
        <w:tc>
          <w:tcPr>
            <w:tcW w:w="1020" w:type="dxa"/>
          </w:tcPr>
          <w:p w:rsidR="00930799" w:rsidRDefault="00DF146C">
            <w:pPr>
              <w:pStyle w:val="CellColumn"/>
              <w:jc w:val="right"/>
            </w:pPr>
            <w:r>
              <w:rPr>
                <w:rFonts w:cs="Times New Roman"/>
              </w:rPr>
              <w:t>3</w:t>
            </w:r>
          </w:p>
        </w:tc>
      </w:tr>
      <w:tr w:rsidR="00930799">
        <w:trPr>
          <w:jc w:val="center"/>
        </w:trPr>
        <w:tc>
          <w:tcPr>
            <w:tcW w:w="2551" w:type="dxa"/>
          </w:tcPr>
          <w:p w:rsidR="00930799" w:rsidRDefault="00DF146C">
            <w:pPr>
              <w:pStyle w:val="CellColumn"/>
              <w:jc w:val="left"/>
            </w:pPr>
            <w:r>
              <w:rPr>
                <w:rFonts w:cs="Times New Roman"/>
              </w:rPr>
              <w:t>Broj zaključenih ugovora jedinstvene informatičke podrške prijevremenim lokalnim izborima</w:t>
            </w:r>
          </w:p>
        </w:tc>
        <w:tc>
          <w:tcPr>
            <w:tcW w:w="2551" w:type="dxa"/>
          </w:tcPr>
          <w:p w:rsidR="00930799" w:rsidRDefault="00DF146C">
            <w:pPr>
              <w:pStyle w:val="CellColumn"/>
              <w:jc w:val="left"/>
            </w:pPr>
            <w:r>
              <w:rPr>
                <w:rFonts w:cs="Times New Roman"/>
              </w:rPr>
              <w:t>Jedinstvena informatička podrška implementira se u svrhu efikasne i transparentne provedbe izbora</w:t>
            </w:r>
          </w:p>
        </w:tc>
        <w:tc>
          <w:tcPr>
            <w:tcW w:w="1020" w:type="dxa"/>
          </w:tcPr>
          <w:p w:rsidR="00930799" w:rsidRDefault="00DF146C">
            <w:pPr>
              <w:pStyle w:val="CellColumn"/>
              <w:jc w:val="right"/>
            </w:pPr>
            <w:r>
              <w:rPr>
                <w:rFonts w:cs="Times New Roman"/>
              </w:rPr>
              <w:t>Broj zaključenih ugovora</w:t>
            </w:r>
          </w:p>
        </w:tc>
        <w:tc>
          <w:tcPr>
            <w:tcW w:w="1020" w:type="dxa"/>
          </w:tcPr>
          <w:p w:rsidR="00930799" w:rsidRDefault="00DF146C">
            <w:pPr>
              <w:pStyle w:val="CellColumn"/>
              <w:jc w:val="right"/>
            </w:pPr>
            <w:r>
              <w:rPr>
                <w:rFonts w:cs="Times New Roman"/>
              </w:rPr>
              <w:t>0</w:t>
            </w:r>
          </w:p>
        </w:tc>
        <w:tc>
          <w:tcPr>
            <w:tcW w:w="1020" w:type="dxa"/>
          </w:tcPr>
          <w:p w:rsidR="00930799" w:rsidRDefault="00DF146C">
            <w:pPr>
              <w:pStyle w:val="CellColumn"/>
              <w:jc w:val="right"/>
            </w:pPr>
            <w:r>
              <w:rPr>
                <w:rFonts w:cs="Times New Roman"/>
              </w:rPr>
              <w:t>Zaključeni ugovor</w:t>
            </w:r>
          </w:p>
        </w:tc>
        <w:tc>
          <w:tcPr>
            <w:tcW w:w="1020" w:type="dxa"/>
          </w:tcPr>
          <w:p w:rsidR="00930799" w:rsidRDefault="00DF146C">
            <w:pPr>
              <w:pStyle w:val="CellColumn"/>
              <w:jc w:val="right"/>
            </w:pPr>
            <w:r>
              <w:rPr>
                <w:rFonts w:cs="Times New Roman"/>
              </w:rPr>
              <w:t>1</w:t>
            </w:r>
          </w:p>
        </w:tc>
        <w:tc>
          <w:tcPr>
            <w:tcW w:w="1020" w:type="dxa"/>
          </w:tcPr>
          <w:p w:rsidR="00930799" w:rsidRDefault="00DF146C">
            <w:pPr>
              <w:pStyle w:val="CellColumn"/>
              <w:jc w:val="right"/>
            </w:pPr>
            <w:r>
              <w:rPr>
                <w:rFonts w:cs="Times New Roman"/>
              </w:rPr>
              <w:t>1</w:t>
            </w:r>
          </w:p>
        </w:tc>
      </w:tr>
    </w:tbl>
    <w:p w:rsidR="00930799" w:rsidRDefault="00930799">
      <w:pPr>
        <w:jc w:val="left"/>
      </w:pPr>
    </w:p>
    <w:p w:rsidR="00930799" w:rsidRDefault="00DF146C">
      <w:pPr>
        <w:pStyle w:val="Heading4"/>
      </w:pPr>
      <w:r>
        <w:t>A896002 ADMINISTRACIJA I UPRAVLJANJE</w:t>
      </w:r>
    </w:p>
    <w:tbl>
      <w:tblPr>
        <w:tblStyle w:val="StilTablice"/>
        <w:tblW w:w="10206" w:type="dxa"/>
        <w:jc w:val="center"/>
        <w:tblLook w:val="04A0" w:firstRow="1" w:lastRow="0" w:firstColumn="1" w:lastColumn="0" w:noHBand="0" w:noVBand="1"/>
      </w:tblPr>
      <w:tblGrid>
        <w:gridCol w:w="1793"/>
        <w:gridCol w:w="1994"/>
        <w:gridCol w:w="1994"/>
        <w:gridCol w:w="1994"/>
        <w:gridCol w:w="1213"/>
        <w:gridCol w:w="1218"/>
      </w:tblGrid>
      <w:tr w:rsidR="00930799">
        <w:trPr>
          <w:jc w:val="center"/>
        </w:trPr>
        <w:tc>
          <w:tcPr>
            <w:tcW w:w="1632" w:type="dxa"/>
            <w:shd w:val="clear" w:color="auto" w:fill="B5C0D8"/>
          </w:tcPr>
          <w:p w:rsidR="00930799" w:rsidRDefault="00DF146C">
            <w:pPr>
              <w:pStyle w:val="CellHeader"/>
              <w:jc w:val="center"/>
            </w:pPr>
            <w:r>
              <w:rPr>
                <w:rFonts w:cs="Times New Roman"/>
              </w:rPr>
              <w:t>Naziv aktivnosti</w:t>
            </w: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Indeks izvršenje 2024./2023.</w:t>
            </w:r>
          </w:p>
        </w:tc>
      </w:tr>
      <w:tr w:rsidR="00930799">
        <w:trPr>
          <w:jc w:val="center"/>
        </w:trPr>
        <w:tc>
          <w:tcPr>
            <w:tcW w:w="1632" w:type="dxa"/>
          </w:tcPr>
          <w:p w:rsidR="00930799" w:rsidRDefault="00DF146C">
            <w:pPr>
              <w:pStyle w:val="CellColumn"/>
              <w:jc w:val="left"/>
            </w:pPr>
            <w:r>
              <w:rPr>
                <w:rFonts w:cs="Times New Roman"/>
              </w:rPr>
              <w:t>A896002-ADMINISTRACIJA I UPRAVLJANJE</w:t>
            </w:r>
          </w:p>
        </w:tc>
        <w:tc>
          <w:tcPr>
            <w:tcW w:w="2041" w:type="dxa"/>
          </w:tcPr>
          <w:p w:rsidR="00930799" w:rsidRDefault="00DF146C">
            <w:pPr>
              <w:pStyle w:val="CellColumn"/>
              <w:jc w:val="right"/>
            </w:pPr>
            <w:r>
              <w:rPr>
                <w:rFonts w:cs="Times New Roman"/>
              </w:rPr>
              <w:t>1.206.365</w:t>
            </w:r>
          </w:p>
        </w:tc>
        <w:tc>
          <w:tcPr>
            <w:tcW w:w="2041" w:type="dxa"/>
          </w:tcPr>
          <w:p w:rsidR="00930799" w:rsidRDefault="00DF146C">
            <w:pPr>
              <w:pStyle w:val="CellColumn"/>
              <w:jc w:val="right"/>
            </w:pPr>
            <w:r>
              <w:rPr>
                <w:rFonts w:cs="Times New Roman"/>
              </w:rPr>
              <w:t>1.842.672</w:t>
            </w:r>
          </w:p>
        </w:tc>
        <w:tc>
          <w:tcPr>
            <w:tcW w:w="2041" w:type="dxa"/>
          </w:tcPr>
          <w:p w:rsidR="00930799" w:rsidRDefault="00DF146C">
            <w:pPr>
              <w:pStyle w:val="CellColumn"/>
              <w:jc w:val="right"/>
            </w:pPr>
            <w:r>
              <w:rPr>
                <w:rFonts w:cs="Times New Roman"/>
              </w:rPr>
              <w:t>1.505.001</w:t>
            </w:r>
          </w:p>
        </w:tc>
        <w:tc>
          <w:tcPr>
            <w:tcW w:w="1224" w:type="dxa"/>
          </w:tcPr>
          <w:p w:rsidR="00930799" w:rsidRDefault="00DF146C">
            <w:pPr>
              <w:pStyle w:val="CellColumn"/>
              <w:jc w:val="right"/>
            </w:pPr>
            <w:r>
              <w:rPr>
                <w:rFonts w:cs="Times New Roman"/>
              </w:rPr>
              <w:t>81,7</w:t>
            </w:r>
          </w:p>
        </w:tc>
        <w:tc>
          <w:tcPr>
            <w:tcW w:w="1224" w:type="dxa"/>
          </w:tcPr>
          <w:p w:rsidR="00930799" w:rsidRDefault="00DF146C">
            <w:pPr>
              <w:pStyle w:val="CellColumn"/>
              <w:jc w:val="right"/>
            </w:pPr>
            <w:r>
              <w:rPr>
                <w:rFonts w:cs="Times New Roman"/>
              </w:rPr>
              <w:t>124,8</w:t>
            </w:r>
          </w:p>
        </w:tc>
      </w:tr>
    </w:tbl>
    <w:p w:rsidR="00930799" w:rsidRDefault="00930799">
      <w:pPr>
        <w:jc w:val="left"/>
      </w:pPr>
    </w:p>
    <w:p w:rsidR="00930799" w:rsidRDefault="00DF146C">
      <w:pPr>
        <w:pStyle w:val="Heading8"/>
        <w:jc w:val="left"/>
      </w:pPr>
      <w:r>
        <w:t>Zakonske i druge pravne osnove</w:t>
      </w:r>
    </w:p>
    <w:p w:rsidR="00930799" w:rsidRDefault="00DF146C">
      <w:r>
        <w:t xml:space="preserve">Zakon o Državnom izbornom povjerenstvu Republike Hrvatske  </w:t>
      </w:r>
      <w:r>
        <w:t xml:space="preserve"> </w:t>
      </w:r>
    </w:p>
    <w:p w:rsidR="00930799" w:rsidRDefault="00DF146C">
      <w:r>
        <w:t xml:space="preserve">Poslovnik o radu Državnog izbornog povjerenstva Republike Hrvatske   </w:t>
      </w:r>
    </w:p>
    <w:p w:rsidR="00930799" w:rsidRDefault="00DF146C">
      <w:r>
        <w:t>Zakon o financiranju političkih aktivnosti, izborne promidžbe i referenduma</w:t>
      </w:r>
    </w:p>
    <w:p w:rsidR="00930799" w:rsidRDefault="00DF146C">
      <w:pPr>
        <w:pStyle w:val="Heading8"/>
        <w:jc w:val="left"/>
      </w:pPr>
      <w:r>
        <w:t>Opis aktivnosti</w:t>
      </w:r>
    </w:p>
    <w:p w:rsidR="00930799" w:rsidRDefault="00DF146C">
      <w:r>
        <w:t xml:space="preserve">Na aktivnosti Administracija i upravljanje utrošeno je 1.505.000,95 eura, što se u cijelosti odnosi na sredstva potrebna za redovan rad Državnog izbornog povjerenstva </w:t>
      </w:r>
    </w:p>
    <w:p w:rsidR="00930799" w:rsidRDefault="00DF146C">
      <w:r>
        <w:t xml:space="preserve">Glavne kategorije troškova aktivnosti Administracija i upravljanje odnose se na plaće i </w:t>
      </w:r>
      <w:r>
        <w:t>ostale rashode za zaposlene (regres, uskrsnica, božićnica, jubilarne nagrade, dar za djecu te pomoći za bolovanje i za smrtni slučaj) te pripadajuće doprinose na plaće zaposlenih u iznosu 1.085.523,62 eura (72,1%), računalne usluge u iznosu od 186.214,75 e</w:t>
      </w:r>
      <w:r>
        <w:t>ura (12,4%), usluge tekućeg i investicijskog održavanja u iznosu od 15.973,18 eura (1,1%), naknade za rad predsjednika i potpredsjednika Državnog izbornog povjerenstva iz redova sudaca Vrhovnog suda u iznosu od 55.984,39 eura (3,7%), troškove energije u iz</w:t>
      </w:r>
      <w:r>
        <w:t>nosu od 16.446,41 eura (1,1%). Preostali iznos od 144.858,65 eura (9,6%) odnosi na troškove službenih putovanja, naknade za prijevoz s posla na posao, troškove nabave uredskog materijala, režijske troškove (telefon, internet, komunalna naknada), troškova z</w:t>
      </w:r>
      <w:r>
        <w:t xml:space="preserve">akupnina opreme, troškove ostalih usluga (čišćenje uredskog prostora) te na nabavu uredske opreme i namještaja.  </w:t>
      </w:r>
    </w:p>
    <w:p w:rsidR="00930799" w:rsidRDefault="00DF146C">
      <w:r>
        <w:t xml:space="preserve">Izvršenje za 2024. u manjoj mjeri odstupa od planiranog proračuna na pojedinim pozicijama.  </w:t>
      </w:r>
    </w:p>
    <w:p w:rsidR="00930799" w:rsidRDefault="00DF146C">
      <w:r>
        <w:t>Do odstupanja je došlo na poziciji rashoda za zap</w:t>
      </w:r>
      <w:r>
        <w:t>oslene koja su ostala neutrošena, zbog korištenja roditeljskog dopusta cijelu 2024. od strane jedne službenice, višemjesečnog bolovanja jedne službenice, prestanka radnog odnosa dvije službenice u Državnom izbornom povjerenstvu na čija mjesta nisu odmah za</w:t>
      </w:r>
      <w:r>
        <w:t xml:space="preserve">posleni novi službenici te ostvarenja nešto manjeg broja prekovremenih sati u odnosu na planirano. </w:t>
      </w:r>
    </w:p>
    <w:p w:rsidR="00930799" w:rsidRDefault="00DF146C">
      <w:r>
        <w:t>Do odstupanja od plana došlo je na poziciji rashoda za materijal i energiju što se prvenstveno odnosilo na smanjenje i stabilizaciju cijene energenata – pli</w:t>
      </w:r>
      <w:r>
        <w:t xml:space="preserve">na i električne energije, u odnosu na cijenu u trenutku planiranja. Također do odstupanja je došlo na poziciji računalnih usluga što se prvenstveno odnosilo na nabavu Microsoft licenci temeljem okvirnog sporazuma čiji je trošak bio nešto manji u odnosu na </w:t>
      </w:r>
      <w:r>
        <w:t>planirano, te na prestanak suradnje sa tvrtkom eVision informacijski sustavi d.o.o. i prestanka korištenja sustava Office Point.</w:t>
      </w:r>
    </w:p>
    <w:p w:rsidR="00930799" w:rsidRDefault="00DF146C">
      <w:pPr>
        <w:pStyle w:val="Heading4"/>
      </w:pPr>
      <w:r>
        <w:t>A896006 PROVEDBA REFERENDUMA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30799">
        <w:trPr>
          <w:jc w:val="center"/>
        </w:trPr>
        <w:tc>
          <w:tcPr>
            <w:tcW w:w="1632" w:type="dxa"/>
            <w:shd w:val="clear" w:color="auto" w:fill="B5C0D8"/>
          </w:tcPr>
          <w:p w:rsidR="00930799" w:rsidRDefault="00DF146C">
            <w:pPr>
              <w:pStyle w:val="CellHeader"/>
              <w:jc w:val="center"/>
            </w:pPr>
            <w:r>
              <w:rPr>
                <w:rFonts w:cs="Times New Roman"/>
              </w:rPr>
              <w:t>Naziv aktivnosti</w:t>
            </w: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w:t>
            </w:r>
            <w:r>
              <w:rPr>
                <w:rFonts w:cs="Times New Roman"/>
              </w:rPr>
              <w:t>4./plan 2024.</w:t>
            </w:r>
          </w:p>
        </w:tc>
        <w:tc>
          <w:tcPr>
            <w:tcW w:w="1224" w:type="dxa"/>
            <w:shd w:val="clear" w:color="auto" w:fill="B5C0D8"/>
          </w:tcPr>
          <w:p w:rsidR="00930799" w:rsidRDefault="00DF146C">
            <w:pPr>
              <w:pStyle w:val="CellHeader"/>
              <w:jc w:val="center"/>
            </w:pPr>
            <w:r>
              <w:rPr>
                <w:rFonts w:cs="Times New Roman"/>
              </w:rPr>
              <w:t>Indeks izvršenje 2024./2023.</w:t>
            </w:r>
          </w:p>
        </w:tc>
      </w:tr>
      <w:tr w:rsidR="00930799">
        <w:trPr>
          <w:jc w:val="center"/>
        </w:trPr>
        <w:tc>
          <w:tcPr>
            <w:tcW w:w="1632" w:type="dxa"/>
          </w:tcPr>
          <w:p w:rsidR="00930799" w:rsidRDefault="00DF146C">
            <w:pPr>
              <w:pStyle w:val="CellColumn"/>
              <w:jc w:val="left"/>
            </w:pPr>
            <w:r>
              <w:rPr>
                <w:rFonts w:cs="Times New Roman"/>
              </w:rPr>
              <w:t>A896006-PROVEDBA REFERENDUMA</w:t>
            </w:r>
          </w:p>
        </w:tc>
        <w:tc>
          <w:tcPr>
            <w:tcW w:w="2041" w:type="dxa"/>
          </w:tcPr>
          <w:p w:rsidR="00930799" w:rsidRDefault="00DF146C">
            <w:pPr>
              <w:pStyle w:val="CellColumn"/>
              <w:jc w:val="right"/>
            </w:pPr>
            <w:r>
              <w:rPr>
                <w:rFonts w:cs="Times New Roman"/>
              </w:rPr>
              <w:t>00</w:t>
            </w:r>
          </w:p>
        </w:tc>
        <w:tc>
          <w:tcPr>
            <w:tcW w:w="2041" w:type="dxa"/>
          </w:tcPr>
          <w:p w:rsidR="00930799" w:rsidRDefault="00DF146C">
            <w:pPr>
              <w:pStyle w:val="CellColumn"/>
              <w:jc w:val="right"/>
            </w:pPr>
            <w:r>
              <w:rPr>
                <w:rFonts w:cs="Times New Roman"/>
              </w:rPr>
              <w:t>17.100</w:t>
            </w:r>
          </w:p>
        </w:tc>
        <w:tc>
          <w:tcPr>
            <w:tcW w:w="2041" w:type="dxa"/>
          </w:tcPr>
          <w:p w:rsidR="00930799" w:rsidRDefault="00DF146C">
            <w:pPr>
              <w:pStyle w:val="CellColumn"/>
              <w:jc w:val="right"/>
            </w:pPr>
            <w:r>
              <w:rPr>
                <w:rFonts w:cs="Times New Roman"/>
              </w:rPr>
              <w:t>00</w:t>
            </w:r>
          </w:p>
        </w:tc>
        <w:tc>
          <w:tcPr>
            <w:tcW w:w="1224" w:type="dxa"/>
          </w:tcPr>
          <w:p w:rsidR="00930799" w:rsidRDefault="00DF146C">
            <w:pPr>
              <w:pStyle w:val="CellColumn"/>
              <w:jc w:val="right"/>
            </w:pPr>
            <w:r>
              <w:rPr>
                <w:rFonts w:cs="Times New Roman"/>
              </w:rPr>
              <w:t>0,0</w:t>
            </w:r>
          </w:p>
        </w:tc>
        <w:tc>
          <w:tcPr>
            <w:tcW w:w="1224" w:type="dxa"/>
          </w:tcPr>
          <w:p w:rsidR="00930799" w:rsidRDefault="00DF146C">
            <w:pPr>
              <w:pStyle w:val="CellColumn"/>
              <w:jc w:val="right"/>
            </w:pPr>
            <w:r>
              <w:rPr>
                <w:rFonts w:cs="Times New Roman"/>
              </w:rPr>
              <w:t>0,0</w:t>
            </w:r>
          </w:p>
        </w:tc>
      </w:tr>
    </w:tbl>
    <w:p w:rsidR="00930799" w:rsidRDefault="00930799">
      <w:pPr>
        <w:jc w:val="left"/>
      </w:pPr>
    </w:p>
    <w:p w:rsidR="00930799" w:rsidRDefault="00DF146C">
      <w:pPr>
        <w:pStyle w:val="Heading8"/>
        <w:jc w:val="left"/>
      </w:pPr>
      <w:r>
        <w:t>Zakonske i druge pravne osnove</w:t>
      </w:r>
    </w:p>
    <w:p w:rsidR="00930799" w:rsidRDefault="00DF146C">
      <w:r>
        <w:t>Zakon o financiranju političkih aktivnosti, izborne promidžbe i referenduma</w:t>
      </w:r>
    </w:p>
    <w:p w:rsidR="00930799" w:rsidRDefault="00DF146C">
      <w:pPr>
        <w:pStyle w:val="Heading8"/>
        <w:jc w:val="left"/>
      </w:pPr>
      <w:r>
        <w:t>Opis aktivnosti</w:t>
      </w:r>
    </w:p>
    <w:p w:rsidR="00930799" w:rsidRDefault="00DF146C">
      <w:r>
        <w:t>Zakonom o financiranju političkih aktivnosti, izborne promidžbe i referenduma propisana je nadležnost Državnog izbornog povjerenstva u provedbi nadzora financiranja referendumskih aktivnosti. Dostava financijskih izvještaja Državnom izbornom povjerenstvu o</w:t>
      </w:r>
      <w:r>
        <w:t>bavlja se unosom u informacijski sustav. Informacijski sustav je, za pojedinu referendumsku inicijativu, u funkciji od trenutka dostave obavijesti Državnom izbornom povjerenstvu od strane Organizacijskog odbora o otvaranju posebnog računa za financiranje r</w:t>
      </w:r>
      <w:r>
        <w:t xml:space="preserve">eferendumske aktivnosti do predaje završnog financijskog izvještaja. </w:t>
      </w:r>
    </w:p>
    <w:p w:rsidR="00930799" w:rsidRDefault="00DF146C">
      <w:r>
        <w:t>S obzirom da nije moguće predvidjeti referendumske inicijative, sredstva za 2024. planirana su za provedbu nadzora referendumske aktivnosti na bazi procjene nadzora financiranja 5 refere</w:t>
      </w:r>
      <w:r>
        <w:t>ndumskih aktivnosti (na državnoj i/ili lokalnoj razini). Tijekom 2024. nije bilo potrebe za aktivacijom informacijskog sustava za nadzor financiranja referendumskih aktivnosti tako da je izvršenje na aktivnosti Provedba referenduma iznosilo 0,00 eura.</w:t>
      </w:r>
    </w:p>
    <w:p w:rsidR="00930799" w:rsidRDefault="00DF146C">
      <w:pPr>
        <w:pStyle w:val="Heading4"/>
      </w:pPr>
      <w:r>
        <w:t>K896</w:t>
      </w:r>
      <w:r>
        <w:t>003 INFORMATIZACIJA DRŽAVNOG IZBORNOG POVJERENSTVA REPUBLIKE HRVATSKE</w:t>
      </w:r>
    </w:p>
    <w:tbl>
      <w:tblPr>
        <w:tblStyle w:val="StilTablice"/>
        <w:tblW w:w="10206" w:type="dxa"/>
        <w:jc w:val="center"/>
        <w:tblLook w:val="04A0" w:firstRow="1" w:lastRow="0" w:firstColumn="1" w:lastColumn="0" w:noHBand="0" w:noVBand="1"/>
      </w:tblPr>
      <w:tblGrid>
        <w:gridCol w:w="1914"/>
        <w:gridCol w:w="1961"/>
        <w:gridCol w:w="1949"/>
        <w:gridCol w:w="1961"/>
        <w:gridCol w:w="1207"/>
        <w:gridCol w:w="1214"/>
      </w:tblGrid>
      <w:tr w:rsidR="00930799">
        <w:trPr>
          <w:jc w:val="center"/>
        </w:trPr>
        <w:tc>
          <w:tcPr>
            <w:tcW w:w="1632" w:type="dxa"/>
            <w:shd w:val="clear" w:color="auto" w:fill="B5C0D8"/>
          </w:tcPr>
          <w:p w:rsidR="00930799" w:rsidRDefault="00DF146C">
            <w:pPr>
              <w:pStyle w:val="CellHeader"/>
              <w:jc w:val="center"/>
            </w:pPr>
            <w:r>
              <w:rPr>
                <w:rFonts w:cs="Times New Roman"/>
              </w:rPr>
              <w:t>Naziv aktivnosti</w:t>
            </w:r>
          </w:p>
        </w:tc>
        <w:tc>
          <w:tcPr>
            <w:tcW w:w="2041" w:type="dxa"/>
            <w:shd w:val="clear" w:color="auto" w:fill="B5C0D8"/>
          </w:tcPr>
          <w:p w:rsidR="00930799" w:rsidRDefault="00DF146C">
            <w:pPr>
              <w:pStyle w:val="CellHeader"/>
              <w:jc w:val="center"/>
            </w:pPr>
            <w:r>
              <w:rPr>
                <w:rFonts w:cs="Times New Roman"/>
              </w:rPr>
              <w:t>Izvršenje 2023. (eur)</w:t>
            </w:r>
          </w:p>
        </w:tc>
        <w:tc>
          <w:tcPr>
            <w:tcW w:w="2041" w:type="dxa"/>
            <w:shd w:val="clear" w:color="auto" w:fill="B5C0D8"/>
          </w:tcPr>
          <w:p w:rsidR="00930799" w:rsidRDefault="00DF146C">
            <w:pPr>
              <w:pStyle w:val="CellHeader"/>
              <w:jc w:val="center"/>
            </w:pPr>
            <w:r>
              <w:rPr>
                <w:rFonts w:cs="Times New Roman"/>
              </w:rPr>
              <w:t>Plan 2024. (eur)</w:t>
            </w:r>
          </w:p>
        </w:tc>
        <w:tc>
          <w:tcPr>
            <w:tcW w:w="2041" w:type="dxa"/>
            <w:shd w:val="clear" w:color="auto" w:fill="B5C0D8"/>
          </w:tcPr>
          <w:p w:rsidR="00930799" w:rsidRDefault="00DF146C">
            <w:pPr>
              <w:pStyle w:val="CellHeader"/>
              <w:jc w:val="center"/>
            </w:pPr>
            <w:r>
              <w:rPr>
                <w:rFonts w:cs="Times New Roman"/>
              </w:rPr>
              <w:t>Izvršenje 2024. (eur)</w:t>
            </w:r>
          </w:p>
        </w:tc>
        <w:tc>
          <w:tcPr>
            <w:tcW w:w="1224" w:type="dxa"/>
            <w:shd w:val="clear" w:color="auto" w:fill="B5C0D8"/>
          </w:tcPr>
          <w:p w:rsidR="00930799" w:rsidRDefault="00DF146C">
            <w:pPr>
              <w:pStyle w:val="CellHeader"/>
              <w:jc w:val="center"/>
            </w:pPr>
            <w:r>
              <w:rPr>
                <w:rFonts w:cs="Times New Roman"/>
              </w:rPr>
              <w:t>Indeks izvršenje 2024./plan 2024.</w:t>
            </w:r>
          </w:p>
        </w:tc>
        <w:tc>
          <w:tcPr>
            <w:tcW w:w="1224" w:type="dxa"/>
            <w:shd w:val="clear" w:color="auto" w:fill="B5C0D8"/>
          </w:tcPr>
          <w:p w:rsidR="00930799" w:rsidRDefault="00DF146C">
            <w:pPr>
              <w:pStyle w:val="CellHeader"/>
              <w:jc w:val="center"/>
            </w:pPr>
            <w:r>
              <w:rPr>
                <w:rFonts w:cs="Times New Roman"/>
              </w:rPr>
              <w:t>Indeks izvršenje 2024./2023.</w:t>
            </w:r>
          </w:p>
        </w:tc>
      </w:tr>
      <w:tr w:rsidR="00930799">
        <w:trPr>
          <w:jc w:val="center"/>
        </w:trPr>
        <w:tc>
          <w:tcPr>
            <w:tcW w:w="1632" w:type="dxa"/>
          </w:tcPr>
          <w:p w:rsidR="00930799" w:rsidRDefault="00DF146C">
            <w:pPr>
              <w:pStyle w:val="CellColumn"/>
              <w:jc w:val="left"/>
            </w:pPr>
            <w:r>
              <w:rPr>
                <w:rFonts w:cs="Times New Roman"/>
              </w:rPr>
              <w:t>K896003-INFORMATIZACIJA DRŽAVNOG IZBORNOG POVJERENSTVA REPUBLIKE HRVATSKE</w:t>
            </w:r>
          </w:p>
        </w:tc>
        <w:tc>
          <w:tcPr>
            <w:tcW w:w="2041" w:type="dxa"/>
          </w:tcPr>
          <w:p w:rsidR="00930799" w:rsidRDefault="00DF146C">
            <w:pPr>
              <w:pStyle w:val="CellColumn"/>
              <w:jc w:val="right"/>
            </w:pPr>
            <w:r>
              <w:rPr>
                <w:rFonts w:cs="Times New Roman"/>
              </w:rPr>
              <w:t>13.013</w:t>
            </w:r>
          </w:p>
        </w:tc>
        <w:tc>
          <w:tcPr>
            <w:tcW w:w="2041" w:type="dxa"/>
          </w:tcPr>
          <w:p w:rsidR="00930799" w:rsidRDefault="00DF146C">
            <w:pPr>
              <w:pStyle w:val="CellColumn"/>
              <w:jc w:val="right"/>
            </w:pPr>
            <w:r>
              <w:rPr>
                <w:rFonts w:cs="Times New Roman"/>
              </w:rPr>
              <w:t>38.900</w:t>
            </w:r>
          </w:p>
        </w:tc>
        <w:tc>
          <w:tcPr>
            <w:tcW w:w="2041" w:type="dxa"/>
          </w:tcPr>
          <w:p w:rsidR="00930799" w:rsidRDefault="00DF146C">
            <w:pPr>
              <w:pStyle w:val="CellColumn"/>
              <w:jc w:val="right"/>
            </w:pPr>
            <w:r>
              <w:rPr>
                <w:rFonts w:cs="Times New Roman"/>
              </w:rPr>
              <w:t>24.252</w:t>
            </w:r>
          </w:p>
        </w:tc>
        <w:tc>
          <w:tcPr>
            <w:tcW w:w="1224" w:type="dxa"/>
          </w:tcPr>
          <w:p w:rsidR="00930799" w:rsidRDefault="00DF146C">
            <w:pPr>
              <w:pStyle w:val="CellColumn"/>
              <w:jc w:val="right"/>
            </w:pPr>
            <w:r>
              <w:rPr>
                <w:rFonts w:cs="Times New Roman"/>
              </w:rPr>
              <w:t>62,3</w:t>
            </w:r>
          </w:p>
        </w:tc>
        <w:tc>
          <w:tcPr>
            <w:tcW w:w="1224" w:type="dxa"/>
          </w:tcPr>
          <w:p w:rsidR="00930799" w:rsidRDefault="00DF146C">
            <w:pPr>
              <w:pStyle w:val="CellColumn"/>
              <w:jc w:val="right"/>
            </w:pPr>
            <w:r>
              <w:rPr>
                <w:rFonts w:cs="Times New Roman"/>
              </w:rPr>
              <w:t>186,4</w:t>
            </w:r>
          </w:p>
        </w:tc>
      </w:tr>
    </w:tbl>
    <w:p w:rsidR="00930799" w:rsidRDefault="00930799">
      <w:pPr>
        <w:jc w:val="left"/>
      </w:pPr>
    </w:p>
    <w:p w:rsidR="00930799" w:rsidRDefault="00DF146C">
      <w:pPr>
        <w:pStyle w:val="Heading8"/>
        <w:jc w:val="left"/>
      </w:pPr>
      <w:r>
        <w:t>Zakonske i druge pravne osnove</w:t>
      </w:r>
    </w:p>
    <w:p w:rsidR="00930799" w:rsidRDefault="00DF146C">
      <w:r>
        <w:t xml:space="preserve">Zakon o Državnom izbornom povjerenstvu Republike Hrvatske   </w:t>
      </w:r>
    </w:p>
    <w:p w:rsidR="00930799" w:rsidRDefault="00DF146C">
      <w:r>
        <w:t>Poslovnik o radu Državnog izbornog povjerenstva Republike Hrvatske</w:t>
      </w:r>
    </w:p>
    <w:p w:rsidR="00930799" w:rsidRDefault="00DF146C">
      <w:pPr>
        <w:pStyle w:val="Heading8"/>
        <w:jc w:val="left"/>
      </w:pPr>
      <w:r>
        <w:t>Opis aktivnosti</w:t>
      </w:r>
    </w:p>
    <w:p w:rsidR="00930799" w:rsidRDefault="00DF146C">
      <w:r>
        <w:t>U skladu s planiranim sredstvima, tijekom 2024. unprijeđena je informatička infrastruktura kroz nabavu novih prijenosnih računala, nabavu monitora te na nadogradnju informac</w:t>
      </w:r>
      <w:r>
        <w:t xml:space="preserve">ijskog sustava za dostavu i objavu financijskih izvještaja u području redovnog nadzora financiranja političkih aktivnosti.  </w:t>
      </w:r>
    </w:p>
    <w:p w:rsidR="00930799" w:rsidRDefault="00DF146C">
      <w:r>
        <w:t>Troškovi nabave novih prijenosnih računala i monitora iznosili su 7.241,85 eura, dok je za nadogradnju informacijskog sustava utroš</w:t>
      </w:r>
      <w:r>
        <w:t xml:space="preserve">eno 10.727,44 eura.  </w:t>
      </w:r>
    </w:p>
    <w:p w:rsidR="00930799" w:rsidRDefault="00DF146C">
      <w:r>
        <w:t>Izmjenama i dopunama državnog proračuna iz listopada 2024. dio sredstava je sa drugih aktivnosti preraspodijeljen na ovu aktivnost zbog nabave novog uređaja za besprekidno napajanje – UPS uređaj budući se postojeći UPS pokvario i nije</w:t>
      </w:r>
      <w:r>
        <w:t xml:space="preserve"> ga bilo moguće popraviti. Trošak nabave novog UPS uređaja iznosio je 6.282,50 eura.</w:t>
      </w:r>
    </w:p>
    <w:sectPr w:rsidR="00930799"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DF146C"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DF146C"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0799"/>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DF146C"/>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897E-3F5B-4598-B239-61EC548C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Vlatka Prskalo</cp:lastModifiedBy>
  <cp:revision>2</cp:revision>
  <dcterms:created xsi:type="dcterms:W3CDTF">2025-04-03T10:47:00Z</dcterms:created>
  <dcterms:modified xsi:type="dcterms:W3CDTF">2025-04-03T10:47:00Z</dcterms:modified>
</cp:coreProperties>
</file>